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FD286" w14:textId="77777777" w:rsidR="005B0D14" w:rsidRPr="00C85590" w:rsidRDefault="00C85590" w:rsidP="00C85590">
      <w:pPr>
        <w:spacing w:before="0"/>
        <w:jc w:val="center"/>
        <w:rPr>
          <w:b/>
        </w:rPr>
      </w:pPr>
      <w:r w:rsidRPr="00C85590">
        <w:rPr>
          <w:b/>
        </w:rPr>
        <w:t>EXCLUSION FROM ASSESSMENT</w:t>
      </w:r>
    </w:p>
    <w:p w14:paraId="6E9C4A0D" w14:textId="77777777" w:rsidR="00C57F0E" w:rsidRPr="00C85590" w:rsidRDefault="00C57F0E" w:rsidP="00C85590">
      <w:pPr>
        <w:spacing w:before="0"/>
        <w:rPr>
          <w:sz w:val="22"/>
          <w:szCs w:val="22"/>
        </w:rPr>
      </w:pPr>
    </w:p>
    <w:p w14:paraId="7CD1C530" w14:textId="77777777" w:rsidR="00126335" w:rsidRPr="00C85590" w:rsidRDefault="00126335" w:rsidP="00C85590">
      <w:pPr>
        <w:pStyle w:val="Default"/>
        <w:spacing w:line="276" w:lineRule="auto"/>
        <w:rPr>
          <w:sz w:val="22"/>
          <w:szCs w:val="22"/>
        </w:rPr>
      </w:pPr>
      <w:r w:rsidRPr="00C85590">
        <w:rPr>
          <w:b/>
          <w:sz w:val="22"/>
          <w:szCs w:val="22"/>
        </w:rPr>
        <w:t>Ordinance IX First Degrees and Undergraduate Awards</w:t>
      </w:r>
      <w:r w:rsidRPr="00C85590">
        <w:rPr>
          <w:sz w:val="22"/>
          <w:szCs w:val="22"/>
        </w:rPr>
        <w:t xml:space="preserve"> (paragraph 10 of the section entitled Regulations for First Degrees and Undergraduate Awards)</w:t>
      </w:r>
      <w:r w:rsidR="00622C2D" w:rsidRPr="00C85590">
        <w:rPr>
          <w:sz w:val="22"/>
          <w:szCs w:val="22"/>
        </w:rPr>
        <w:t xml:space="preserve"> and </w:t>
      </w:r>
      <w:r w:rsidR="00622C2D" w:rsidRPr="00C85590">
        <w:rPr>
          <w:b/>
          <w:sz w:val="22"/>
          <w:szCs w:val="22"/>
        </w:rPr>
        <w:t xml:space="preserve">Ordinance XI Taught Postgraduate Awards </w:t>
      </w:r>
      <w:r w:rsidR="00622C2D" w:rsidRPr="00C85590">
        <w:rPr>
          <w:sz w:val="22"/>
          <w:szCs w:val="22"/>
        </w:rPr>
        <w:t>(paragraph 7 of the section entitled Regulations for Taught Postgraduate Awards)</w:t>
      </w:r>
      <w:r w:rsidRPr="00C85590">
        <w:rPr>
          <w:sz w:val="22"/>
          <w:szCs w:val="22"/>
        </w:rPr>
        <w:t>:</w:t>
      </w:r>
    </w:p>
    <w:p w14:paraId="1686B501" w14:textId="77777777" w:rsidR="00126335" w:rsidRPr="00C85590" w:rsidRDefault="00126335" w:rsidP="00C85590">
      <w:pPr>
        <w:pStyle w:val="Default"/>
        <w:spacing w:line="276" w:lineRule="auto"/>
        <w:rPr>
          <w:sz w:val="22"/>
          <w:szCs w:val="22"/>
        </w:rPr>
      </w:pPr>
    </w:p>
    <w:p w14:paraId="48DAB6DD" w14:textId="77777777" w:rsidR="00126335" w:rsidRPr="00C85590" w:rsidRDefault="00126335" w:rsidP="00C85590">
      <w:pPr>
        <w:pStyle w:val="Default"/>
        <w:spacing w:line="276" w:lineRule="auto"/>
        <w:rPr>
          <w:sz w:val="22"/>
          <w:szCs w:val="22"/>
        </w:rPr>
      </w:pPr>
      <w:r w:rsidRPr="00C85590">
        <w:rPr>
          <w:sz w:val="22"/>
          <w:szCs w:val="22"/>
        </w:rPr>
        <w:t>‘Candidates must present themselves for the University examinations and assessments arranged in connection with any modules/courses prescribed in their programme of study. However, candidates will not be permitted to present themselves for such examinations or assessments unless they have satisfactorily attended the prescribed module/course and performed any required class, practical and/or clinical work to the satisfaction of the Head of Faculty/College providing the module/course. Candidates must present themselves for such oral examinations as may be required by the examiners in accordance with the requirements laid down in relation to the programme of study.’</w:t>
      </w:r>
    </w:p>
    <w:p w14:paraId="09A60B6A" w14:textId="77777777" w:rsidR="00622C2D" w:rsidRPr="00C85590" w:rsidRDefault="00622C2D" w:rsidP="00C85590">
      <w:pPr>
        <w:pStyle w:val="Default"/>
        <w:spacing w:line="276" w:lineRule="auto"/>
        <w:rPr>
          <w:sz w:val="22"/>
          <w:szCs w:val="22"/>
        </w:rPr>
      </w:pPr>
    </w:p>
    <w:p w14:paraId="42108DCA" w14:textId="1941CE0C" w:rsidR="00732E78" w:rsidRPr="00C85590" w:rsidRDefault="00732E78" w:rsidP="00AA0097">
      <w:pPr>
        <w:spacing w:before="0"/>
        <w:rPr>
          <w:sz w:val="22"/>
          <w:szCs w:val="22"/>
        </w:rPr>
      </w:pPr>
      <w:r w:rsidRPr="00C85590">
        <w:rPr>
          <w:sz w:val="22"/>
          <w:szCs w:val="22"/>
        </w:rPr>
        <w:t>If a student is not attending the normal informal warning and Formal Warnings should be sent (ie</w:t>
      </w:r>
      <w:r w:rsidR="003B4573" w:rsidRPr="00C85590">
        <w:rPr>
          <w:sz w:val="22"/>
          <w:szCs w:val="22"/>
        </w:rPr>
        <w:t xml:space="preserve"> under</w:t>
      </w:r>
      <w:r w:rsidRPr="00C85590">
        <w:rPr>
          <w:sz w:val="22"/>
          <w:szCs w:val="22"/>
        </w:rPr>
        <w:t xml:space="preserve"> the normal Unsatisfactory </w:t>
      </w:r>
      <w:r w:rsidR="00AA0097">
        <w:rPr>
          <w:sz w:val="22"/>
          <w:szCs w:val="22"/>
        </w:rPr>
        <w:t xml:space="preserve">Work Attendance and Engagement </w:t>
      </w:r>
      <w:r w:rsidRPr="00C85590">
        <w:rPr>
          <w:sz w:val="22"/>
          <w:szCs w:val="22"/>
        </w:rPr>
        <w:t>Procedure).</w:t>
      </w:r>
    </w:p>
    <w:p w14:paraId="101C65A3" w14:textId="77777777" w:rsidR="00126335" w:rsidRPr="00C85590" w:rsidRDefault="00126335" w:rsidP="00C85590">
      <w:pPr>
        <w:spacing w:before="0"/>
        <w:rPr>
          <w:sz w:val="22"/>
          <w:szCs w:val="22"/>
        </w:rPr>
      </w:pPr>
    </w:p>
    <w:p w14:paraId="2C73DD3B" w14:textId="77777777" w:rsidR="00732E78" w:rsidRPr="00C85590" w:rsidRDefault="00732E78" w:rsidP="00C85590">
      <w:pPr>
        <w:spacing w:before="0"/>
        <w:rPr>
          <w:sz w:val="22"/>
          <w:szCs w:val="22"/>
        </w:rPr>
      </w:pPr>
      <w:r w:rsidRPr="00C85590">
        <w:rPr>
          <w:sz w:val="22"/>
          <w:szCs w:val="22"/>
        </w:rPr>
        <w:t>It should be made clear to the student that failure to attend can result in them being prevented from sitting assessments.</w:t>
      </w:r>
    </w:p>
    <w:p w14:paraId="73FAF10E" w14:textId="77777777" w:rsidR="00126335" w:rsidRPr="00C85590" w:rsidRDefault="00126335" w:rsidP="00C85590">
      <w:pPr>
        <w:spacing w:before="0"/>
        <w:rPr>
          <w:sz w:val="22"/>
          <w:szCs w:val="22"/>
        </w:rPr>
      </w:pPr>
    </w:p>
    <w:p w14:paraId="7CFE9101" w14:textId="77777777" w:rsidR="00732E78" w:rsidRPr="00C85590" w:rsidRDefault="00732E78" w:rsidP="00C85590">
      <w:pPr>
        <w:spacing w:before="0"/>
        <w:rPr>
          <w:sz w:val="22"/>
          <w:szCs w:val="22"/>
        </w:rPr>
      </w:pPr>
      <w:r w:rsidRPr="00C85590">
        <w:rPr>
          <w:sz w:val="22"/>
          <w:szCs w:val="22"/>
        </w:rPr>
        <w:t>In accordance with the above regulation, if a student does not</w:t>
      </w:r>
      <w:r w:rsidR="00CB1B2C" w:rsidRPr="00C85590">
        <w:rPr>
          <w:sz w:val="22"/>
          <w:szCs w:val="22"/>
        </w:rPr>
        <w:t>,</w:t>
      </w:r>
      <w:r w:rsidR="006B6E90" w:rsidRPr="00C85590">
        <w:rPr>
          <w:sz w:val="22"/>
          <w:szCs w:val="22"/>
        </w:rPr>
        <w:t xml:space="preserve"> in the opinion of the Head of the Teaching School or the Parent Department</w:t>
      </w:r>
      <w:r w:rsidR="00CB1B2C" w:rsidRPr="00C85590">
        <w:rPr>
          <w:sz w:val="22"/>
          <w:szCs w:val="22"/>
        </w:rPr>
        <w:t>,</w:t>
      </w:r>
      <w:r w:rsidRPr="00C85590">
        <w:rPr>
          <w:sz w:val="22"/>
          <w:szCs w:val="22"/>
        </w:rPr>
        <w:t xml:space="preserve"> attend sufficient</w:t>
      </w:r>
      <w:r w:rsidR="000F7F46" w:rsidRPr="00C85590">
        <w:rPr>
          <w:sz w:val="22"/>
          <w:szCs w:val="22"/>
        </w:rPr>
        <w:t>ly</w:t>
      </w:r>
      <w:r w:rsidR="00A41F57" w:rsidRPr="00C85590">
        <w:rPr>
          <w:sz w:val="22"/>
          <w:szCs w:val="22"/>
        </w:rPr>
        <w:t xml:space="preserve"> in order</w:t>
      </w:r>
      <w:r w:rsidRPr="00C85590">
        <w:rPr>
          <w:sz w:val="22"/>
          <w:szCs w:val="22"/>
        </w:rPr>
        <w:t xml:space="preserve"> to prepare for </w:t>
      </w:r>
      <w:r w:rsidR="006B6E90" w:rsidRPr="00C85590">
        <w:rPr>
          <w:sz w:val="22"/>
          <w:szCs w:val="22"/>
        </w:rPr>
        <w:t>an</w:t>
      </w:r>
      <w:r w:rsidRPr="00C85590">
        <w:rPr>
          <w:sz w:val="22"/>
          <w:szCs w:val="22"/>
        </w:rPr>
        <w:t xml:space="preserve"> assessment the Head of the Teaching School (in agreement with the Parent School) </w:t>
      </w:r>
      <w:r w:rsidR="006B6E90" w:rsidRPr="00C85590">
        <w:rPr>
          <w:sz w:val="22"/>
          <w:szCs w:val="22"/>
        </w:rPr>
        <w:t>will</w:t>
      </w:r>
      <w:r w:rsidRPr="00C85590">
        <w:rPr>
          <w:sz w:val="22"/>
          <w:szCs w:val="22"/>
        </w:rPr>
        <w:t xml:space="preserve"> make the decision to exclude the student from taking the assessment.  (Note – by this point the student </w:t>
      </w:r>
      <w:r w:rsidR="003B4573" w:rsidRPr="00C85590">
        <w:rPr>
          <w:sz w:val="22"/>
          <w:szCs w:val="22"/>
        </w:rPr>
        <w:t>must</w:t>
      </w:r>
      <w:r w:rsidRPr="00C85590">
        <w:rPr>
          <w:sz w:val="22"/>
          <w:szCs w:val="22"/>
        </w:rPr>
        <w:t xml:space="preserve"> have received warnings regarding non-attendance</w:t>
      </w:r>
      <w:r w:rsidR="003B4573" w:rsidRPr="00C85590">
        <w:rPr>
          <w:sz w:val="22"/>
          <w:szCs w:val="22"/>
        </w:rPr>
        <w:t>, and be fully aware of the implications</w:t>
      </w:r>
      <w:r w:rsidRPr="00C85590">
        <w:rPr>
          <w:sz w:val="22"/>
          <w:szCs w:val="22"/>
        </w:rPr>
        <w:t xml:space="preserve">.) </w:t>
      </w:r>
    </w:p>
    <w:p w14:paraId="4D0DDB5C" w14:textId="77777777" w:rsidR="00126335" w:rsidRPr="00C85590" w:rsidRDefault="00126335" w:rsidP="00C85590">
      <w:pPr>
        <w:spacing w:before="0"/>
        <w:rPr>
          <w:sz w:val="22"/>
          <w:szCs w:val="22"/>
        </w:rPr>
      </w:pPr>
    </w:p>
    <w:p w14:paraId="27A525F9" w14:textId="2FA49529" w:rsidR="00C57F0E" w:rsidRPr="00C85590" w:rsidRDefault="00732E78" w:rsidP="00C85590">
      <w:pPr>
        <w:spacing w:before="0"/>
        <w:rPr>
          <w:sz w:val="22"/>
          <w:szCs w:val="22"/>
        </w:rPr>
      </w:pPr>
      <w:r w:rsidRPr="00C85590">
        <w:rPr>
          <w:sz w:val="22"/>
          <w:szCs w:val="22"/>
        </w:rPr>
        <w:t>A meeting should be arranged</w:t>
      </w:r>
      <w:r w:rsidR="00C57F0E" w:rsidRPr="00C85590">
        <w:rPr>
          <w:sz w:val="22"/>
          <w:szCs w:val="22"/>
        </w:rPr>
        <w:t xml:space="preserve"> </w:t>
      </w:r>
      <w:r w:rsidRPr="00C85590">
        <w:rPr>
          <w:sz w:val="22"/>
          <w:szCs w:val="22"/>
        </w:rPr>
        <w:t>between the Head of School or nominee and the student</w:t>
      </w:r>
      <w:r w:rsidR="00E454FC" w:rsidRPr="00C85590">
        <w:rPr>
          <w:sz w:val="22"/>
          <w:szCs w:val="22"/>
        </w:rPr>
        <w:t>, and should be instigated no later than the penultimate week of teaching</w:t>
      </w:r>
      <w:r w:rsidRPr="00C85590">
        <w:rPr>
          <w:sz w:val="22"/>
          <w:szCs w:val="22"/>
        </w:rPr>
        <w:t>.  The student should be informed that they are being prevented from sitting the assessment and that</w:t>
      </w:r>
      <w:r w:rsidR="000D37E2" w:rsidRPr="00C85590">
        <w:rPr>
          <w:sz w:val="22"/>
          <w:szCs w:val="22"/>
        </w:rPr>
        <w:t xml:space="preserve"> either</w:t>
      </w:r>
      <w:r w:rsidRPr="00C85590">
        <w:rPr>
          <w:sz w:val="22"/>
          <w:szCs w:val="22"/>
        </w:rPr>
        <w:t xml:space="preserve"> </w:t>
      </w:r>
      <w:r w:rsidR="000D37E2" w:rsidRPr="00C85590">
        <w:rPr>
          <w:sz w:val="22"/>
          <w:szCs w:val="22"/>
        </w:rPr>
        <w:t>a mark of 0 on the 0-100 scale will be recorded for the module</w:t>
      </w:r>
      <w:r w:rsidR="00C6723B" w:rsidRPr="00C85590">
        <w:rPr>
          <w:rStyle w:val="FootnoteReference"/>
          <w:sz w:val="22"/>
          <w:szCs w:val="22"/>
        </w:rPr>
        <w:footnoteReference w:id="1"/>
      </w:r>
      <w:r w:rsidR="000D37E2" w:rsidRPr="00C85590">
        <w:rPr>
          <w:sz w:val="22"/>
          <w:szCs w:val="22"/>
        </w:rPr>
        <w:t>.  They will retain this mark for their first attempt and it will appear on their transcript</w:t>
      </w:r>
      <w:r w:rsidR="000D37E2" w:rsidRPr="00C85590">
        <w:rPr>
          <w:rStyle w:val="FootnoteReference"/>
          <w:sz w:val="22"/>
          <w:szCs w:val="22"/>
        </w:rPr>
        <w:t xml:space="preserve"> </w:t>
      </w:r>
      <w:r w:rsidR="00C6723B" w:rsidRPr="00C85590">
        <w:rPr>
          <w:rStyle w:val="FootnoteReference"/>
          <w:sz w:val="22"/>
          <w:szCs w:val="22"/>
        </w:rPr>
        <w:footnoteReference w:id="2"/>
      </w:r>
      <w:r w:rsidRPr="00C85590">
        <w:rPr>
          <w:sz w:val="22"/>
          <w:szCs w:val="22"/>
        </w:rPr>
        <w:t>.</w:t>
      </w:r>
      <w:r w:rsidR="00713B1F" w:rsidRPr="00C85590">
        <w:rPr>
          <w:sz w:val="22"/>
          <w:szCs w:val="22"/>
        </w:rPr>
        <w:t xml:space="preserve">  </w:t>
      </w:r>
    </w:p>
    <w:p w14:paraId="05AE9B3A" w14:textId="77777777" w:rsidR="00126335" w:rsidRPr="00C85590" w:rsidRDefault="00126335" w:rsidP="00C85590">
      <w:pPr>
        <w:spacing w:before="0"/>
        <w:rPr>
          <w:sz w:val="22"/>
          <w:szCs w:val="22"/>
        </w:rPr>
      </w:pPr>
    </w:p>
    <w:p w14:paraId="1685A46A" w14:textId="77777777" w:rsidR="00126335" w:rsidRPr="00C85590" w:rsidRDefault="00126335" w:rsidP="00C85590">
      <w:pPr>
        <w:spacing w:before="0"/>
        <w:rPr>
          <w:sz w:val="22"/>
          <w:szCs w:val="22"/>
        </w:rPr>
      </w:pPr>
      <w:r w:rsidRPr="00C85590">
        <w:rPr>
          <w:sz w:val="22"/>
          <w:szCs w:val="22"/>
        </w:rPr>
        <w:t>The student would be required to resit the module</w:t>
      </w:r>
      <w:r w:rsidR="00622C2D" w:rsidRPr="00C85590">
        <w:rPr>
          <w:rStyle w:val="FootnoteReference"/>
          <w:sz w:val="22"/>
          <w:szCs w:val="22"/>
        </w:rPr>
        <w:footnoteReference w:id="3"/>
      </w:r>
      <w:r w:rsidR="00AC15C2" w:rsidRPr="00C85590">
        <w:rPr>
          <w:sz w:val="22"/>
          <w:szCs w:val="22"/>
        </w:rPr>
        <w:t xml:space="preserve"> for a second attempt</w:t>
      </w:r>
      <w:r w:rsidRPr="00C85590">
        <w:rPr>
          <w:sz w:val="22"/>
          <w:szCs w:val="22"/>
        </w:rPr>
        <w:t xml:space="preserve"> with teaching at the next available time</w:t>
      </w:r>
      <w:r w:rsidR="003B4573" w:rsidRPr="00C85590">
        <w:rPr>
          <w:sz w:val="22"/>
          <w:szCs w:val="22"/>
        </w:rPr>
        <w:t xml:space="preserve"> (see points 1-4)</w:t>
      </w:r>
      <w:r w:rsidRPr="00C85590">
        <w:rPr>
          <w:sz w:val="22"/>
          <w:szCs w:val="22"/>
        </w:rPr>
        <w:t>.</w:t>
      </w:r>
    </w:p>
    <w:p w14:paraId="20012DA8" w14:textId="77777777" w:rsidR="00DB053B" w:rsidRPr="00C85590" w:rsidRDefault="00DB053B" w:rsidP="00C85590">
      <w:pPr>
        <w:spacing w:before="0"/>
        <w:rPr>
          <w:sz w:val="22"/>
          <w:szCs w:val="22"/>
        </w:rPr>
      </w:pPr>
    </w:p>
    <w:p w14:paraId="684153E1" w14:textId="77777777" w:rsidR="00126335" w:rsidRPr="00C85590" w:rsidRDefault="00126335" w:rsidP="00C85590">
      <w:pPr>
        <w:spacing w:before="0"/>
        <w:rPr>
          <w:sz w:val="22"/>
          <w:szCs w:val="22"/>
        </w:rPr>
      </w:pPr>
      <w:r w:rsidRPr="00C85590">
        <w:rPr>
          <w:sz w:val="22"/>
          <w:szCs w:val="22"/>
        </w:rPr>
        <w:lastRenderedPageBreak/>
        <w:t>The student has the opportunity to bring forward any reasons for their failure to attend at the meeting, although any reason does not completely excuse non-attendance, it may be that the student is permitted to resit the module (with teaching) for a first attempt subject to any mitigation they may have</w:t>
      </w:r>
      <w:r w:rsidR="002552D1" w:rsidRPr="00C85590">
        <w:rPr>
          <w:sz w:val="22"/>
          <w:szCs w:val="22"/>
        </w:rPr>
        <w:t xml:space="preserve"> being accepted</w:t>
      </w:r>
      <w:r w:rsidRPr="00C85590">
        <w:rPr>
          <w:sz w:val="22"/>
          <w:szCs w:val="22"/>
        </w:rPr>
        <w:t>.</w:t>
      </w:r>
    </w:p>
    <w:p w14:paraId="2D3BD461" w14:textId="77777777" w:rsidR="00126335" w:rsidRPr="00C85590" w:rsidRDefault="00126335" w:rsidP="00C85590">
      <w:pPr>
        <w:spacing w:before="0"/>
        <w:rPr>
          <w:sz w:val="22"/>
          <w:szCs w:val="22"/>
        </w:rPr>
      </w:pPr>
    </w:p>
    <w:p w14:paraId="6B4F4775" w14:textId="77777777" w:rsidR="00126335" w:rsidRPr="00C85590" w:rsidRDefault="002E4641" w:rsidP="00C85590">
      <w:pPr>
        <w:spacing w:before="0"/>
        <w:rPr>
          <w:sz w:val="22"/>
          <w:szCs w:val="22"/>
        </w:rPr>
      </w:pPr>
      <w:r w:rsidRPr="00C85590">
        <w:rPr>
          <w:sz w:val="22"/>
          <w:szCs w:val="22"/>
        </w:rPr>
        <w:t>Following</w:t>
      </w:r>
      <w:r w:rsidR="00126335" w:rsidRPr="00C85590">
        <w:rPr>
          <w:sz w:val="22"/>
          <w:szCs w:val="22"/>
        </w:rPr>
        <w:t xml:space="preserve"> the meeting the student should be </w:t>
      </w:r>
      <w:r w:rsidRPr="00C85590">
        <w:rPr>
          <w:sz w:val="22"/>
          <w:szCs w:val="22"/>
        </w:rPr>
        <w:t>sent</w:t>
      </w:r>
      <w:r w:rsidR="00126335" w:rsidRPr="00C85590">
        <w:rPr>
          <w:sz w:val="22"/>
          <w:szCs w:val="22"/>
        </w:rPr>
        <w:t xml:space="preserve"> a letter confirming the exclusion from assessment.</w:t>
      </w:r>
      <w:r w:rsidRPr="00C85590">
        <w:rPr>
          <w:sz w:val="22"/>
          <w:szCs w:val="22"/>
        </w:rPr>
        <w:t xml:space="preserve">  If the student fails to attend the meeting a letter should be sent out to the student confirming the exclusion from assessment.</w:t>
      </w:r>
    </w:p>
    <w:p w14:paraId="5B753283" w14:textId="77777777" w:rsidR="00126335" w:rsidRPr="00C85590" w:rsidRDefault="00126335" w:rsidP="00C85590">
      <w:pPr>
        <w:spacing w:before="0"/>
        <w:rPr>
          <w:sz w:val="22"/>
          <w:szCs w:val="22"/>
        </w:rPr>
      </w:pPr>
    </w:p>
    <w:p w14:paraId="3A1FB1B8" w14:textId="77777777" w:rsidR="00AC15C2" w:rsidRPr="00C85590" w:rsidRDefault="00AC15C2" w:rsidP="00C85590">
      <w:pPr>
        <w:spacing w:before="0"/>
        <w:rPr>
          <w:sz w:val="22"/>
          <w:szCs w:val="22"/>
        </w:rPr>
      </w:pPr>
    </w:p>
    <w:p w14:paraId="6CF1A96C" w14:textId="77777777" w:rsidR="00126335" w:rsidRPr="00C85590" w:rsidRDefault="00126335" w:rsidP="00C85590">
      <w:pPr>
        <w:numPr>
          <w:ilvl w:val="0"/>
          <w:numId w:val="12"/>
        </w:numPr>
        <w:spacing w:before="0"/>
        <w:rPr>
          <w:b/>
          <w:sz w:val="22"/>
          <w:szCs w:val="22"/>
        </w:rPr>
      </w:pPr>
      <w:r w:rsidRPr="00C85590">
        <w:rPr>
          <w:b/>
          <w:sz w:val="22"/>
          <w:szCs w:val="22"/>
        </w:rPr>
        <w:t>If the module</w:t>
      </w:r>
      <w:r w:rsidR="00F526E7" w:rsidRPr="00C85590">
        <w:rPr>
          <w:b/>
          <w:sz w:val="22"/>
          <w:szCs w:val="22"/>
        </w:rPr>
        <w:t xml:space="preserve"> is</w:t>
      </w:r>
      <w:r w:rsidRPr="00C85590">
        <w:rPr>
          <w:b/>
          <w:sz w:val="22"/>
          <w:szCs w:val="22"/>
        </w:rPr>
        <w:t xml:space="preserve"> compulsory:</w:t>
      </w:r>
    </w:p>
    <w:p w14:paraId="0DFD7C50" w14:textId="77777777" w:rsidR="00126335" w:rsidRPr="00C85590" w:rsidRDefault="00126335" w:rsidP="00C85590">
      <w:pPr>
        <w:spacing w:before="0"/>
        <w:ind w:left="709"/>
        <w:rPr>
          <w:sz w:val="22"/>
          <w:szCs w:val="22"/>
        </w:rPr>
      </w:pPr>
      <w:r w:rsidRPr="00C85590">
        <w:rPr>
          <w:sz w:val="22"/>
          <w:szCs w:val="22"/>
        </w:rPr>
        <w:t>The student must resit the module internally with teaching when it is next taught.  If the student is eligible to progress, the Parent School must assess whether or not the student would be capable of studying the module in question in addition to the normal 120-credits.</w:t>
      </w:r>
    </w:p>
    <w:p w14:paraId="5096C814" w14:textId="77777777" w:rsidR="00126335" w:rsidRPr="00C85590" w:rsidRDefault="00126335" w:rsidP="00C85590">
      <w:pPr>
        <w:spacing w:before="0"/>
        <w:ind w:left="709"/>
        <w:rPr>
          <w:sz w:val="22"/>
          <w:szCs w:val="22"/>
        </w:rPr>
      </w:pPr>
      <w:r w:rsidRPr="00C85590">
        <w:rPr>
          <w:sz w:val="22"/>
          <w:szCs w:val="22"/>
        </w:rPr>
        <w:t xml:space="preserve">If the student is a weak student then it is advisable </w:t>
      </w:r>
      <w:r w:rsidR="00F46A09" w:rsidRPr="00C85590">
        <w:rPr>
          <w:sz w:val="22"/>
          <w:szCs w:val="22"/>
        </w:rPr>
        <w:t>that progression is deferred</w:t>
      </w:r>
      <w:r w:rsidRPr="00C85590">
        <w:rPr>
          <w:sz w:val="22"/>
          <w:szCs w:val="22"/>
        </w:rPr>
        <w:t xml:space="preserve"> until completion of the module.  </w:t>
      </w:r>
    </w:p>
    <w:p w14:paraId="438677E3" w14:textId="77777777" w:rsidR="00126335" w:rsidRPr="00C85590" w:rsidRDefault="00126335" w:rsidP="00C85590">
      <w:pPr>
        <w:spacing w:before="0"/>
        <w:rPr>
          <w:sz w:val="22"/>
          <w:szCs w:val="22"/>
        </w:rPr>
      </w:pPr>
    </w:p>
    <w:p w14:paraId="18B22A64" w14:textId="77777777" w:rsidR="00126335" w:rsidRPr="00C85590" w:rsidRDefault="00F526E7" w:rsidP="00C85590">
      <w:pPr>
        <w:numPr>
          <w:ilvl w:val="0"/>
          <w:numId w:val="12"/>
        </w:numPr>
        <w:spacing w:before="0"/>
        <w:rPr>
          <w:b/>
          <w:sz w:val="22"/>
          <w:szCs w:val="22"/>
        </w:rPr>
      </w:pPr>
      <w:r w:rsidRPr="00C85590">
        <w:rPr>
          <w:b/>
          <w:sz w:val="22"/>
          <w:szCs w:val="22"/>
        </w:rPr>
        <w:t>If the module is</w:t>
      </w:r>
      <w:r w:rsidR="00126335" w:rsidRPr="00C85590">
        <w:rPr>
          <w:b/>
          <w:sz w:val="22"/>
          <w:szCs w:val="22"/>
        </w:rPr>
        <w:t xml:space="preserve"> pass-for-progression (PFP):</w:t>
      </w:r>
    </w:p>
    <w:p w14:paraId="0610F986" w14:textId="77777777" w:rsidR="00126335" w:rsidRPr="00C85590" w:rsidRDefault="00126335" w:rsidP="00C85590">
      <w:pPr>
        <w:spacing w:before="0"/>
        <w:ind w:left="709"/>
        <w:rPr>
          <w:sz w:val="22"/>
          <w:szCs w:val="22"/>
        </w:rPr>
      </w:pPr>
      <w:r w:rsidRPr="00C85590">
        <w:rPr>
          <w:sz w:val="22"/>
          <w:szCs w:val="22"/>
        </w:rPr>
        <w:t>The student must resit the module internally with teaching before being permitted to progress to the next level of study with no exceptions.</w:t>
      </w:r>
    </w:p>
    <w:p w14:paraId="54415030" w14:textId="77777777" w:rsidR="00126335" w:rsidRPr="00C85590" w:rsidRDefault="00126335" w:rsidP="00C85590">
      <w:pPr>
        <w:spacing w:before="0"/>
        <w:rPr>
          <w:sz w:val="22"/>
          <w:szCs w:val="22"/>
        </w:rPr>
      </w:pPr>
    </w:p>
    <w:p w14:paraId="68AE185A" w14:textId="77777777" w:rsidR="00126335" w:rsidRPr="00C85590" w:rsidRDefault="00126335" w:rsidP="00C85590">
      <w:pPr>
        <w:numPr>
          <w:ilvl w:val="0"/>
          <w:numId w:val="12"/>
        </w:numPr>
        <w:spacing w:before="0"/>
        <w:rPr>
          <w:b/>
          <w:sz w:val="22"/>
          <w:szCs w:val="22"/>
        </w:rPr>
      </w:pPr>
      <w:r w:rsidRPr="00C85590">
        <w:rPr>
          <w:b/>
          <w:sz w:val="22"/>
          <w:szCs w:val="22"/>
        </w:rPr>
        <w:t>If the module is</w:t>
      </w:r>
      <w:r w:rsidR="00BF7118" w:rsidRPr="00C85590">
        <w:rPr>
          <w:b/>
          <w:sz w:val="22"/>
          <w:szCs w:val="22"/>
        </w:rPr>
        <w:t xml:space="preserve"> an</w:t>
      </w:r>
      <w:r w:rsidRPr="00C85590">
        <w:rPr>
          <w:b/>
          <w:sz w:val="22"/>
          <w:szCs w:val="22"/>
        </w:rPr>
        <w:t xml:space="preserve"> elective:</w:t>
      </w:r>
    </w:p>
    <w:p w14:paraId="79E92981" w14:textId="77777777" w:rsidR="00AC15C2" w:rsidRPr="00C85590" w:rsidRDefault="00AC15C2" w:rsidP="00C85590">
      <w:pPr>
        <w:spacing w:before="0"/>
        <w:ind w:left="709"/>
        <w:rPr>
          <w:sz w:val="22"/>
          <w:szCs w:val="22"/>
        </w:rPr>
      </w:pPr>
      <w:r w:rsidRPr="00C85590">
        <w:rPr>
          <w:sz w:val="22"/>
          <w:szCs w:val="22"/>
        </w:rPr>
        <w:t>The student can choose not to resit and accept the</w:t>
      </w:r>
      <w:r w:rsidR="000D37E2" w:rsidRPr="00C85590">
        <w:rPr>
          <w:sz w:val="22"/>
          <w:szCs w:val="22"/>
        </w:rPr>
        <w:t xml:space="preserve"> fail mark</w:t>
      </w:r>
      <w:r w:rsidRPr="00C85590">
        <w:rPr>
          <w:sz w:val="22"/>
          <w:szCs w:val="22"/>
        </w:rPr>
        <w:t xml:space="preserve">.  The student must </w:t>
      </w:r>
      <w:r w:rsidR="006B6E90" w:rsidRPr="00C85590">
        <w:rPr>
          <w:sz w:val="22"/>
          <w:szCs w:val="22"/>
        </w:rPr>
        <w:t>be informed of</w:t>
      </w:r>
      <w:r w:rsidRPr="00C85590">
        <w:rPr>
          <w:sz w:val="22"/>
          <w:szCs w:val="22"/>
        </w:rPr>
        <w:t xml:space="preserve"> the impact of this upon thei</w:t>
      </w:r>
      <w:r w:rsidR="0021463E" w:rsidRPr="00C85590">
        <w:rPr>
          <w:sz w:val="22"/>
          <w:szCs w:val="22"/>
        </w:rPr>
        <w:t xml:space="preserve">r classification and </w:t>
      </w:r>
      <w:r w:rsidRPr="00C85590">
        <w:rPr>
          <w:sz w:val="22"/>
          <w:szCs w:val="22"/>
        </w:rPr>
        <w:t>transcript.</w:t>
      </w:r>
    </w:p>
    <w:p w14:paraId="00EA40E3" w14:textId="77777777" w:rsidR="00126335" w:rsidRPr="00C85590" w:rsidRDefault="00126335" w:rsidP="00C85590">
      <w:pPr>
        <w:spacing w:before="0"/>
        <w:rPr>
          <w:sz w:val="22"/>
          <w:szCs w:val="22"/>
        </w:rPr>
      </w:pPr>
    </w:p>
    <w:p w14:paraId="35C8043B" w14:textId="77777777" w:rsidR="00126335" w:rsidRPr="00C85590" w:rsidRDefault="00126335" w:rsidP="00C85590">
      <w:pPr>
        <w:numPr>
          <w:ilvl w:val="0"/>
          <w:numId w:val="12"/>
        </w:numPr>
        <w:spacing w:before="0"/>
        <w:rPr>
          <w:b/>
          <w:sz w:val="22"/>
          <w:szCs w:val="22"/>
        </w:rPr>
      </w:pPr>
      <w:r w:rsidRPr="00C85590">
        <w:rPr>
          <w:b/>
          <w:sz w:val="22"/>
          <w:szCs w:val="22"/>
        </w:rPr>
        <w:t>Transfer to a new module:</w:t>
      </w:r>
    </w:p>
    <w:p w14:paraId="55571503" w14:textId="77777777" w:rsidR="00126335" w:rsidRPr="00C85590" w:rsidRDefault="00126335" w:rsidP="00C85590">
      <w:pPr>
        <w:spacing w:before="0"/>
        <w:ind w:left="709"/>
        <w:rPr>
          <w:sz w:val="22"/>
          <w:szCs w:val="22"/>
        </w:rPr>
      </w:pPr>
      <w:r w:rsidRPr="00C85590">
        <w:rPr>
          <w:sz w:val="22"/>
          <w:szCs w:val="22"/>
        </w:rPr>
        <w:t xml:space="preserve">The student may, subject to permission and availability, transfer to a new module.  However, </w:t>
      </w:r>
      <w:r w:rsidR="00BF7118" w:rsidRPr="00C85590">
        <w:rPr>
          <w:sz w:val="22"/>
          <w:szCs w:val="22"/>
        </w:rPr>
        <w:t>the new module</w:t>
      </w:r>
      <w:r w:rsidR="00AC15C2" w:rsidRPr="00C85590">
        <w:rPr>
          <w:sz w:val="22"/>
          <w:szCs w:val="22"/>
        </w:rPr>
        <w:t xml:space="preserve"> will not be for a first attempt - </w:t>
      </w:r>
      <w:r w:rsidRPr="00C85590">
        <w:rPr>
          <w:sz w:val="22"/>
          <w:szCs w:val="22"/>
        </w:rPr>
        <w:t>the student will retain the number of attempts available from the module it is replacing (ie the new module will be for a second attempt and a capped mark</w:t>
      </w:r>
      <w:r w:rsidR="00AC15C2" w:rsidRPr="00C85590">
        <w:rPr>
          <w:sz w:val="22"/>
          <w:szCs w:val="22"/>
        </w:rPr>
        <w:t>).</w:t>
      </w:r>
    </w:p>
    <w:sectPr w:rsidR="00126335" w:rsidRPr="00C85590" w:rsidSect="00356DF1">
      <w:headerReference w:type="even" r:id="rId8"/>
      <w:headerReference w:type="default" r:id="rId9"/>
      <w:footerReference w:type="even" r:id="rId10"/>
      <w:footerReference w:type="default" r:id="rId11"/>
      <w:headerReference w:type="first" r:id="rId12"/>
      <w:footerReference w:type="first" r:id="rId13"/>
      <w:pgSz w:w="11906" w:h="16838" w:code="9"/>
      <w:pgMar w:top="189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EDF92" w14:textId="77777777" w:rsidR="00C85590" w:rsidRDefault="00C85590" w:rsidP="00622C2D">
      <w:pPr>
        <w:spacing w:before="0" w:line="240" w:lineRule="auto"/>
      </w:pPr>
      <w:r>
        <w:separator/>
      </w:r>
    </w:p>
  </w:endnote>
  <w:endnote w:type="continuationSeparator" w:id="0">
    <w:p w14:paraId="06B41978" w14:textId="77777777" w:rsidR="00C85590" w:rsidRDefault="00C85590" w:rsidP="00622C2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E0B0E" w14:textId="77777777" w:rsidR="00AA0097" w:rsidRDefault="00AA00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F0C8F" w14:textId="44C8E70C" w:rsidR="00C85590" w:rsidRPr="00AA0097" w:rsidRDefault="00AA0097" w:rsidP="008E5341">
    <w:pPr>
      <w:pStyle w:val="Footer"/>
      <w:jc w:val="right"/>
      <w:rPr>
        <w:sz w:val="16"/>
        <w:szCs w:val="16"/>
        <w:lang w:val="en-US"/>
      </w:rPr>
    </w:pPr>
    <w:r>
      <w:rPr>
        <w:sz w:val="16"/>
        <w:szCs w:val="16"/>
        <w:lang w:val="en-US"/>
      </w:rPr>
      <w:t>OAAR 2012 updated 9.05.23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2BE63" w14:textId="77777777" w:rsidR="00AA0097" w:rsidRDefault="00AA0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E07A2" w14:textId="77777777" w:rsidR="00C85590" w:rsidRDefault="00C85590" w:rsidP="00622C2D">
      <w:pPr>
        <w:spacing w:before="0" w:line="240" w:lineRule="auto"/>
      </w:pPr>
      <w:r>
        <w:separator/>
      </w:r>
    </w:p>
  </w:footnote>
  <w:footnote w:type="continuationSeparator" w:id="0">
    <w:p w14:paraId="3316F33D" w14:textId="77777777" w:rsidR="00C85590" w:rsidRDefault="00C85590" w:rsidP="00622C2D">
      <w:pPr>
        <w:spacing w:before="0" w:line="240" w:lineRule="auto"/>
      </w:pPr>
      <w:r>
        <w:continuationSeparator/>
      </w:r>
    </w:p>
  </w:footnote>
  <w:footnote w:id="1">
    <w:p w14:paraId="138A4993" w14:textId="57FB0EA6" w:rsidR="00C85590" w:rsidRPr="00C85590" w:rsidRDefault="00C85590">
      <w:pPr>
        <w:pStyle w:val="FootnoteText"/>
        <w:rPr>
          <w:sz w:val="22"/>
          <w:szCs w:val="22"/>
        </w:rPr>
      </w:pPr>
      <w:r w:rsidRPr="00C85590">
        <w:rPr>
          <w:rStyle w:val="FootnoteReference"/>
          <w:sz w:val="22"/>
          <w:szCs w:val="22"/>
        </w:rPr>
        <w:footnoteRef/>
      </w:r>
      <w:r w:rsidRPr="00C85590">
        <w:rPr>
          <w:sz w:val="22"/>
          <w:szCs w:val="22"/>
        </w:rPr>
        <w:t xml:space="preserve"> Having been excluded from assessment the only mark the student can be awarded is a 0, even if they have already submitted and passed other elements of the module.  </w:t>
      </w:r>
    </w:p>
  </w:footnote>
  <w:footnote w:id="2">
    <w:p w14:paraId="3B3541C0" w14:textId="77777777" w:rsidR="00C85590" w:rsidRPr="00C85590" w:rsidRDefault="00C85590">
      <w:pPr>
        <w:pStyle w:val="FootnoteText"/>
        <w:rPr>
          <w:sz w:val="22"/>
          <w:szCs w:val="22"/>
        </w:rPr>
      </w:pPr>
      <w:r w:rsidRPr="00C85590">
        <w:rPr>
          <w:rStyle w:val="FootnoteReference"/>
          <w:sz w:val="22"/>
          <w:szCs w:val="22"/>
        </w:rPr>
        <w:footnoteRef/>
      </w:r>
      <w:r w:rsidRPr="00C85590">
        <w:rPr>
          <w:sz w:val="22"/>
          <w:szCs w:val="22"/>
        </w:rPr>
        <w:t xml:space="preserve"> When translated for the transcript the mark on either scale will be a 0.</w:t>
      </w:r>
    </w:p>
  </w:footnote>
  <w:footnote w:id="3">
    <w:p w14:paraId="0528492E" w14:textId="77777777" w:rsidR="00C85590" w:rsidRPr="00C85590" w:rsidRDefault="00C85590">
      <w:pPr>
        <w:pStyle w:val="FootnoteText"/>
        <w:rPr>
          <w:sz w:val="22"/>
          <w:szCs w:val="22"/>
        </w:rPr>
      </w:pPr>
      <w:r w:rsidRPr="00C85590">
        <w:rPr>
          <w:rStyle w:val="FootnoteReference"/>
          <w:sz w:val="22"/>
          <w:szCs w:val="22"/>
        </w:rPr>
        <w:footnoteRef/>
      </w:r>
      <w:r w:rsidRPr="00C85590">
        <w:rPr>
          <w:sz w:val="22"/>
          <w:szCs w:val="22"/>
        </w:rPr>
        <w:t xml:space="preserve"> It would be at the discretion of the School as to whether or not any elements of the module already submitted and passed would be carried forward.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BF469" w14:textId="77777777" w:rsidR="00AA0097" w:rsidRDefault="00AA00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41BC2" w14:textId="49E1CBC3" w:rsidR="00C85590" w:rsidRDefault="00AA0097">
    <w:pPr>
      <w:pStyle w:val="Header"/>
    </w:pPr>
    <w:r>
      <w:rPr>
        <w:noProof/>
      </w:rPr>
      <w:drawing>
        <wp:anchor distT="0" distB="0" distL="114300" distR="114300" simplePos="0" relativeHeight="251659264" behindDoc="0" locked="0" layoutInCell="1" allowOverlap="1" wp14:anchorId="62EDBF44" wp14:editId="65D224FC">
          <wp:simplePos x="0" y="0"/>
          <wp:positionH relativeFrom="margin">
            <wp:posOffset>4029075</wp:posOffset>
          </wp:positionH>
          <wp:positionV relativeFrom="margin">
            <wp:posOffset>-755015</wp:posOffset>
          </wp:positionV>
          <wp:extent cx="1762125" cy="624205"/>
          <wp:effectExtent l="0" t="0" r="0" b="0"/>
          <wp:wrapSquare wrapText="bothSides"/>
          <wp:docPr id="1" name="Picture 1"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Uni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2420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93116" w14:textId="2A4D1450" w:rsidR="00356DF1" w:rsidRDefault="00AA0097">
    <w:pPr>
      <w:pStyle w:val="Header"/>
    </w:pPr>
    <w:r>
      <w:rPr>
        <w:noProof/>
        <w:lang w:eastAsia="en-GB"/>
      </w:rPr>
      <w:drawing>
        <wp:anchor distT="0" distB="0" distL="114300" distR="114300" simplePos="0" relativeHeight="251660288" behindDoc="0" locked="0" layoutInCell="1" allowOverlap="1" wp14:anchorId="55CF7A0E" wp14:editId="263A6BFA">
          <wp:simplePos x="0" y="0"/>
          <wp:positionH relativeFrom="margin">
            <wp:posOffset>4181475</wp:posOffset>
          </wp:positionH>
          <wp:positionV relativeFrom="margin">
            <wp:posOffset>-907415</wp:posOffset>
          </wp:positionV>
          <wp:extent cx="1762125" cy="624205"/>
          <wp:effectExtent l="0" t="0" r="0" b="0"/>
          <wp:wrapSquare wrapText="bothSides"/>
          <wp:docPr id="2" name="Picture 2"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dsUni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2420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9A3C15"/>
    <w:multiLevelType w:val="hybridMultilevel"/>
    <w:tmpl w:val="658E7F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8133E2"/>
    <w:multiLevelType w:val="hybridMultilevel"/>
    <w:tmpl w:val="4718D8D4"/>
    <w:lvl w:ilvl="0" w:tplc="CE76055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A54"/>
    <w:rsid w:val="00012120"/>
    <w:rsid w:val="00016858"/>
    <w:rsid w:val="000363B1"/>
    <w:rsid w:val="000550EE"/>
    <w:rsid w:val="00061C57"/>
    <w:rsid w:val="00090103"/>
    <w:rsid w:val="00090632"/>
    <w:rsid w:val="000A395C"/>
    <w:rsid w:val="000C045B"/>
    <w:rsid w:val="000D37E2"/>
    <w:rsid w:val="000D6127"/>
    <w:rsid w:val="000E062B"/>
    <w:rsid w:val="000F7F46"/>
    <w:rsid w:val="00122623"/>
    <w:rsid w:val="00126335"/>
    <w:rsid w:val="00195832"/>
    <w:rsid w:val="00196A0A"/>
    <w:rsid w:val="001C2F45"/>
    <w:rsid w:val="001D2D17"/>
    <w:rsid w:val="001E7B8F"/>
    <w:rsid w:val="0021463E"/>
    <w:rsid w:val="002221E2"/>
    <w:rsid w:val="00224237"/>
    <w:rsid w:val="00243554"/>
    <w:rsid w:val="002552D1"/>
    <w:rsid w:val="00273123"/>
    <w:rsid w:val="002A0A54"/>
    <w:rsid w:val="002A237B"/>
    <w:rsid w:val="002A7E64"/>
    <w:rsid w:val="002D5A12"/>
    <w:rsid w:val="002E3459"/>
    <w:rsid w:val="002E4641"/>
    <w:rsid w:val="00317EDE"/>
    <w:rsid w:val="00330467"/>
    <w:rsid w:val="003400F1"/>
    <w:rsid w:val="00346EAD"/>
    <w:rsid w:val="00356DF1"/>
    <w:rsid w:val="003B1D14"/>
    <w:rsid w:val="003B4573"/>
    <w:rsid w:val="003E2BAE"/>
    <w:rsid w:val="003E7174"/>
    <w:rsid w:val="004141BC"/>
    <w:rsid w:val="00416AA0"/>
    <w:rsid w:val="0043594A"/>
    <w:rsid w:val="00471C63"/>
    <w:rsid w:val="00472653"/>
    <w:rsid w:val="004805E0"/>
    <w:rsid w:val="00483152"/>
    <w:rsid w:val="00506848"/>
    <w:rsid w:val="00545B4D"/>
    <w:rsid w:val="005543C3"/>
    <w:rsid w:val="0056264E"/>
    <w:rsid w:val="005A7C3E"/>
    <w:rsid w:val="005B0D14"/>
    <w:rsid w:val="00600226"/>
    <w:rsid w:val="006143F4"/>
    <w:rsid w:val="00622C2D"/>
    <w:rsid w:val="006333ED"/>
    <w:rsid w:val="006422C8"/>
    <w:rsid w:val="0066043C"/>
    <w:rsid w:val="00676555"/>
    <w:rsid w:val="006776FA"/>
    <w:rsid w:val="00692C70"/>
    <w:rsid w:val="006954D2"/>
    <w:rsid w:val="006A4155"/>
    <w:rsid w:val="006B6286"/>
    <w:rsid w:val="006B6E90"/>
    <w:rsid w:val="006D6E3C"/>
    <w:rsid w:val="006F163E"/>
    <w:rsid w:val="00706797"/>
    <w:rsid w:val="00713B1F"/>
    <w:rsid w:val="00732E78"/>
    <w:rsid w:val="007D64F6"/>
    <w:rsid w:val="007E6000"/>
    <w:rsid w:val="007F3937"/>
    <w:rsid w:val="008523E7"/>
    <w:rsid w:val="00873D7B"/>
    <w:rsid w:val="00880119"/>
    <w:rsid w:val="00890E90"/>
    <w:rsid w:val="008958FD"/>
    <w:rsid w:val="008C44AA"/>
    <w:rsid w:val="008E5341"/>
    <w:rsid w:val="0091059B"/>
    <w:rsid w:val="00913CE5"/>
    <w:rsid w:val="00930117"/>
    <w:rsid w:val="00940DC6"/>
    <w:rsid w:val="00987191"/>
    <w:rsid w:val="00990117"/>
    <w:rsid w:val="0099150C"/>
    <w:rsid w:val="00992C0E"/>
    <w:rsid w:val="009B1663"/>
    <w:rsid w:val="009B6CA2"/>
    <w:rsid w:val="009C1360"/>
    <w:rsid w:val="009D0381"/>
    <w:rsid w:val="009E58C3"/>
    <w:rsid w:val="009F4193"/>
    <w:rsid w:val="00A07691"/>
    <w:rsid w:val="00A21459"/>
    <w:rsid w:val="00A30890"/>
    <w:rsid w:val="00A36CF5"/>
    <w:rsid w:val="00A41F57"/>
    <w:rsid w:val="00AA0097"/>
    <w:rsid w:val="00AA1826"/>
    <w:rsid w:val="00AC039A"/>
    <w:rsid w:val="00AC15C2"/>
    <w:rsid w:val="00AC4E88"/>
    <w:rsid w:val="00AC6E6E"/>
    <w:rsid w:val="00AD1B4C"/>
    <w:rsid w:val="00AD3173"/>
    <w:rsid w:val="00AF20FA"/>
    <w:rsid w:val="00B0046D"/>
    <w:rsid w:val="00B03E85"/>
    <w:rsid w:val="00B23E4E"/>
    <w:rsid w:val="00B3772F"/>
    <w:rsid w:val="00B73992"/>
    <w:rsid w:val="00B7564E"/>
    <w:rsid w:val="00BA7AAB"/>
    <w:rsid w:val="00BD3CD8"/>
    <w:rsid w:val="00BE1449"/>
    <w:rsid w:val="00BE6793"/>
    <w:rsid w:val="00BF7118"/>
    <w:rsid w:val="00BF7C01"/>
    <w:rsid w:val="00C03B83"/>
    <w:rsid w:val="00C0684F"/>
    <w:rsid w:val="00C20718"/>
    <w:rsid w:val="00C43089"/>
    <w:rsid w:val="00C57F0E"/>
    <w:rsid w:val="00C6723B"/>
    <w:rsid w:val="00C85590"/>
    <w:rsid w:val="00C95ABD"/>
    <w:rsid w:val="00CA19CD"/>
    <w:rsid w:val="00CB1B2C"/>
    <w:rsid w:val="00D00D33"/>
    <w:rsid w:val="00D46090"/>
    <w:rsid w:val="00D73C89"/>
    <w:rsid w:val="00DA6AFA"/>
    <w:rsid w:val="00DB053B"/>
    <w:rsid w:val="00DB0773"/>
    <w:rsid w:val="00DB3167"/>
    <w:rsid w:val="00DB71BE"/>
    <w:rsid w:val="00DB77A1"/>
    <w:rsid w:val="00DC78EB"/>
    <w:rsid w:val="00E057DF"/>
    <w:rsid w:val="00E123DD"/>
    <w:rsid w:val="00E209F2"/>
    <w:rsid w:val="00E454FC"/>
    <w:rsid w:val="00E503FB"/>
    <w:rsid w:val="00E56999"/>
    <w:rsid w:val="00E6056E"/>
    <w:rsid w:val="00E9370A"/>
    <w:rsid w:val="00EA4AA8"/>
    <w:rsid w:val="00EB3403"/>
    <w:rsid w:val="00EB66B1"/>
    <w:rsid w:val="00F11E4D"/>
    <w:rsid w:val="00F367F1"/>
    <w:rsid w:val="00F419B2"/>
    <w:rsid w:val="00F46A09"/>
    <w:rsid w:val="00F526E7"/>
    <w:rsid w:val="00F60D18"/>
    <w:rsid w:val="00F97E0D"/>
    <w:rsid w:val="00FF7B8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DD604B1"/>
  <w15:docId w15:val="{3E51BF08-3AD1-4808-8677-BC79A991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64E"/>
    <w:pPr>
      <w:spacing w:before="120" w:line="276" w:lineRule="auto"/>
    </w:pPr>
    <w:rPr>
      <w:sz w:val="24"/>
      <w:szCs w:val="24"/>
      <w:lang w:eastAsia="en-US"/>
    </w:rPr>
  </w:style>
  <w:style w:type="paragraph" w:styleId="Heading1">
    <w:name w:val="heading 1"/>
    <w:basedOn w:val="Normal"/>
    <w:next w:val="Normal"/>
    <w:link w:val="Heading1Char"/>
    <w:autoRedefine/>
    <w:uiPriority w:val="9"/>
    <w:qFormat/>
    <w:rsid w:val="00EB66B1"/>
    <w:pPr>
      <w:keepNext/>
      <w:keepLines/>
      <w:outlineLvl w:val="0"/>
    </w:pPr>
    <w:rPr>
      <w:rFonts w:eastAsia="Times New Roman"/>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imes New Roman"/>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imes New Roman"/>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imes New Roman"/>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imes New Roman"/>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imes New Roman"/>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imes New Roman" w:cs="Times New Roman"/>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imes New Roman" w:cs="Times New Roman"/>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imes New Roman" w:cs="Times New Roman"/>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imes New Roman"/>
      <w:b/>
      <w:spacing w:val="5"/>
      <w:sz w:val="36"/>
      <w:szCs w:val="52"/>
    </w:rPr>
  </w:style>
  <w:style w:type="character" w:customStyle="1" w:styleId="TitleChar">
    <w:name w:val="Title Char"/>
    <w:basedOn w:val="DefaultParagraphFont"/>
    <w:link w:val="Title"/>
    <w:uiPriority w:val="10"/>
    <w:rsid w:val="005B0D14"/>
    <w:rPr>
      <w:rFonts w:eastAsia="Times New Roman"/>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imes New Roman"/>
      <w:iCs/>
      <w:spacing w:val="15"/>
      <w:sz w:val="28"/>
    </w:rPr>
  </w:style>
  <w:style w:type="character" w:customStyle="1" w:styleId="SubtitleChar">
    <w:name w:val="Subtitle Char"/>
    <w:basedOn w:val="DefaultParagraphFont"/>
    <w:link w:val="Subtitle"/>
    <w:uiPriority w:val="11"/>
    <w:rsid w:val="00EB66B1"/>
    <w:rPr>
      <w:rFonts w:ascii="Arial" w:eastAsia="Times New Roman"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imes New Roman" w:hAnsi="Arial" w:cs="Arial"/>
      <w:b/>
      <w:bCs/>
      <w:sz w:val="36"/>
      <w:szCs w:val="28"/>
    </w:rPr>
  </w:style>
  <w:style w:type="character" w:customStyle="1" w:styleId="Heading2Char">
    <w:name w:val="Heading 2 Char"/>
    <w:basedOn w:val="DefaultParagraphFont"/>
    <w:link w:val="Heading2"/>
    <w:uiPriority w:val="9"/>
    <w:rsid w:val="00EB66B1"/>
    <w:rPr>
      <w:rFonts w:ascii="Arial" w:eastAsia="Times New Roman" w:hAnsi="Arial" w:cs="Arial"/>
      <w:b/>
      <w:bCs/>
      <w:sz w:val="28"/>
      <w:szCs w:val="26"/>
    </w:rPr>
  </w:style>
  <w:style w:type="character" w:customStyle="1" w:styleId="Heading3Char">
    <w:name w:val="Heading 3 Char"/>
    <w:basedOn w:val="DefaultParagraphFont"/>
    <w:link w:val="Heading3"/>
    <w:uiPriority w:val="9"/>
    <w:rsid w:val="00EB66B1"/>
    <w:rPr>
      <w:rFonts w:ascii="Arial" w:eastAsia="Times New Roman" w:hAnsi="Arial" w:cs="Arial"/>
      <w:b/>
      <w:bCs/>
      <w:sz w:val="24"/>
    </w:rPr>
  </w:style>
  <w:style w:type="character" w:customStyle="1" w:styleId="Heading4Char">
    <w:name w:val="Heading 4 Char"/>
    <w:basedOn w:val="DefaultParagraphFont"/>
    <w:link w:val="Heading4"/>
    <w:uiPriority w:val="9"/>
    <w:rsid w:val="00EB66B1"/>
    <w:rPr>
      <w:rFonts w:ascii="Arial" w:eastAsia="Times New Roman" w:hAnsi="Arial" w:cs="Arial"/>
      <w:b/>
      <w:bCs/>
      <w:iCs/>
      <w:sz w:val="24"/>
    </w:rPr>
  </w:style>
  <w:style w:type="character" w:customStyle="1" w:styleId="Heading5Char">
    <w:name w:val="Heading 5 Char"/>
    <w:basedOn w:val="DefaultParagraphFont"/>
    <w:link w:val="Heading5"/>
    <w:uiPriority w:val="9"/>
    <w:rsid w:val="00273123"/>
    <w:rPr>
      <w:rFonts w:ascii="Arial" w:eastAsia="Times New Roman" w:hAnsi="Arial" w:cs="Arial"/>
      <w:b/>
      <w:sz w:val="24"/>
    </w:rPr>
  </w:style>
  <w:style w:type="character" w:customStyle="1" w:styleId="Heading6Char">
    <w:name w:val="Heading 6 Char"/>
    <w:basedOn w:val="DefaultParagraphFont"/>
    <w:link w:val="Heading6"/>
    <w:uiPriority w:val="9"/>
    <w:rsid w:val="006F163E"/>
    <w:rPr>
      <w:rFonts w:ascii="Arial" w:eastAsia="Times New Roman"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imes New Roman" w:hAnsi="Arial" w:cs="Times New Roman"/>
      <w:b/>
      <w:i/>
      <w:iCs/>
      <w:sz w:val="24"/>
    </w:rPr>
  </w:style>
  <w:style w:type="character" w:customStyle="1" w:styleId="Heading8Char">
    <w:name w:val="Heading 8 Char"/>
    <w:basedOn w:val="DefaultParagraphFont"/>
    <w:link w:val="Heading8"/>
    <w:uiPriority w:val="9"/>
    <w:rsid w:val="006F163E"/>
    <w:rPr>
      <w:rFonts w:ascii="Arial" w:eastAsia="Times New Roman" w:hAnsi="Arial" w:cs="Times New Roman"/>
      <w:sz w:val="24"/>
      <w:szCs w:val="20"/>
    </w:rPr>
  </w:style>
  <w:style w:type="character" w:customStyle="1" w:styleId="Heading9Char">
    <w:name w:val="Heading 9 Char"/>
    <w:basedOn w:val="DefaultParagraphFont"/>
    <w:link w:val="Heading9"/>
    <w:uiPriority w:val="9"/>
    <w:rsid w:val="006F163E"/>
    <w:rPr>
      <w:rFonts w:ascii="Arial" w:eastAsia="Times New Roman" w:hAnsi="Arial" w:cs="Times New Roman"/>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imes New Roman"/>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imes New Roman" w:cs="Times New Roman"/>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imes New Roman" w:cs="Times New Roman"/>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imes New Roman" w:cs="Times New Roman"/>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imes New Roman" w:cs="Times New Roman"/>
    </w:rPr>
  </w:style>
  <w:style w:type="character" w:customStyle="1" w:styleId="MessageHeaderChar">
    <w:name w:val="Message Header Char"/>
    <w:basedOn w:val="DefaultParagraphFont"/>
    <w:link w:val="MessageHeader"/>
    <w:uiPriority w:val="99"/>
    <w:semiHidden/>
    <w:rsid w:val="003400F1"/>
    <w:rPr>
      <w:rFonts w:eastAsia="Times New Roman" w:cs="Times New Roman"/>
      <w:shd w:val="pct20" w:color="auto" w:fill="auto"/>
    </w:rPr>
  </w:style>
  <w:style w:type="paragraph" w:styleId="NoSpacing">
    <w:name w:val="No Spacing"/>
    <w:uiPriority w:val="1"/>
    <w:qFormat/>
    <w:rsid w:val="003400F1"/>
    <w:rPr>
      <w:sz w:val="24"/>
      <w:szCs w:val="24"/>
      <w:lang w:eastAsia="en-US"/>
    </w:r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imes New Roman" w:cs="Times New Roman"/>
      <w:b/>
      <w:bCs/>
    </w:rPr>
  </w:style>
  <w:style w:type="paragraph" w:customStyle="1" w:styleId="Default">
    <w:name w:val="Default"/>
    <w:rsid w:val="00126335"/>
    <w:pPr>
      <w:autoSpaceDE w:val="0"/>
      <w:autoSpaceDN w:val="0"/>
      <w:adjustRightInd w:val="0"/>
    </w:pPr>
    <w:rPr>
      <w:rFonts w:eastAsia="Times New Roman"/>
      <w:color w:val="000000"/>
      <w:sz w:val="24"/>
      <w:szCs w:val="24"/>
      <w:lang w:eastAsia="en-US"/>
    </w:rPr>
  </w:style>
  <w:style w:type="paragraph" w:styleId="FootnoteText">
    <w:name w:val="footnote text"/>
    <w:basedOn w:val="Normal"/>
    <w:link w:val="FootnoteTextChar"/>
    <w:uiPriority w:val="99"/>
    <w:semiHidden/>
    <w:unhideWhenUsed/>
    <w:rsid w:val="00622C2D"/>
    <w:rPr>
      <w:sz w:val="20"/>
      <w:szCs w:val="20"/>
    </w:rPr>
  </w:style>
  <w:style w:type="character" w:customStyle="1" w:styleId="FootnoteTextChar">
    <w:name w:val="Footnote Text Char"/>
    <w:basedOn w:val="DefaultParagraphFont"/>
    <w:link w:val="FootnoteText"/>
    <w:uiPriority w:val="99"/>
    <w:semiHidden/>
    <w:rsid w:val="00622C2D"/>
    <w:rPr>
      <w:lang w:eastAsia="en-US"/>
    </w:rPr>
  </w:style>
  <w:style w:type="character" w:styleId="FootnoteReference">
    <w:name w:val="footnote reference"/>
    <w:basedOn w:val="DefaultParagraphFont"/>
    <w:uiPriority w:val="99"/>
    <w:semiHidden/>
    <w:unhideWhenUsed/>
    <w:rsid w:val="00622C2D"/>
    <w:rPr>
      <w:vertAlign w:val="superscript"/>
    </w:rPr>
  </w:style>
  <w:style w:type="paragraph" w:styleId="Header">
    <w:name w:val="header"/>
    <w:basedOn w:val="Normal"/>
    <w:link w:val="HeaderChar"/>
    <w:uiPriority w:val="99"/>
    <w:unhideWhenUsed/>
    <w:rsid w:val="008E5341"/>
    <w:pPr>
      <w:tabs>
        <w:tab w:val="center" w:pos="4513"/>
        <w:tab w:val="right" w:pos="9026"/>
      </w:tabs>
    </w:pPr>
  </w:style>
  <w:style w:type="character" w:customStyle="1" w:styleId="HeaderChar">
    <w:name w:val="Header Char"/>
    <w:basedOn w:val="DefaultParagraphFont"/>
    <w:link w:val="Header"/>
    <w:uiPriority w:val="99"/>
    <w:rsid w:val="008E5341"/>
    <w:rPr>
      <w:sz w:val="24"/>
      <w:szCs w:val="24"/>
      <w:lang w:eastAsia="en-US"/>
    </w:rPr>
  </w:style>
  <w:style w:type="paragraph" w:styleId="Footer">
    <w:name w:val="footer"/>
    <w:basedOn w:val="Normal"/>
    <w:link w:val="FooterChar"/>
    <w:uiPriority w:val="99"/>
    <w:unhideWhenUsed/>
    <w:rsid w:val="008E5341"/>
    <w:pPr>
      <w:tabs>
        <w:tab w:val="center" w:pos="4513"/>
        <w:tab w:val="right" w:pos="9026"/>
      </w:tabs>
    </w:pPr>
  </w:style>
  <w:style w:type="character" w:customStyle="1" w:styleId="FooterChar">
    <w:name w:val="Footer Char"/>
    <w:basedOn w:val="DefaultParagraphFont"/>
    <w:link w:val="Footer"/>
    <w:uiPriority w:val="99"/>
    <w:rsid w:val="008E534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90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CE4D4-68D5-4A9E-8E69-CA687BD38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stueaw</dc:creator>
  <cp:lastModifiedBy>Rebecca Dearden</cp:lastModifiedBy>
  <cp:revision>2</cp:revision>
  <cp:lastPrinted>2015-02-11T16:32:00Z</cp:lastPrinted>
  <dcterms:created xsi:type="dcterms:W3CDTF">2023-05-08T12:01:00Z</dcterms:created>
  <dcterms:modified xsi:type="dcterms:W3CDTF">2023-05-08T12:01:00Z</dcterms:modified>
</cp:coreProperties>
</file>