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D5B70" w14:textId="4833086D" w:rsidR="00422E87" w:rsidRPr="00422E87" w:rsidRDefault="00422E87" w:rsidP="002D233E">
      <w:pPr>
        <w:pStyle w:val="Heading4"/>
        <w:ind w:left="360" w:hanging="360"/>
        <w:jc w:val="center"/>
        <w:rPr>
          <w:rFonts w:ascii="Arial" w:hAnsi="Arial" w:cs="Arial"/>
          <w:i/>
          <w:sz w:val="22"/>
          <w:szCs w:val="22"/>
        </w:rPr>
      </w:pPr>
      <w:bookmarkStart w:id="0" w:name="StarFootnote"/>
      <w:bookmarkEnd w:id="0"/>
      <w:r w:rsidRPr="00422E87">
        <w:rPr>
          <w:rFonts w:ascii="Arial" w:hAnsi="Arial" w:cs="Arial"/>
          <w:sz w:val="22"/>
          <w:szCs w:val="22"/>
        </w:rPr>
        <w:t xml:space="preserve">UNSATISFACTORY </w:t>
      </w:r>
      <w:r w:rsidR="001D5A10">
        <w:rPr>
          <w:rFonts w:ascii="Arial" w:hAnsi="Arial" w:cs="Arial"/>
          <w:sz w:val="22"/>
          <w:szCs w:val="22"/>
        </w:rPr>
        <w:t>WORK</w:t>
      </w:r>
      <w:r w:rsidR="00C775BE">
        <w:rPr>
          <w:rFonts w:ascii="Arial" w:hAnsi="Arial" w:cs="Arial"/>
          <w:sz w:val="22"/>
          <w:szCs w:val="22"/>
        </w:rPr>
        <w:t>,</w:t>
      </w:r>
      <w:r w:rsidR="001D5A10">
        <w:rPr>
          <w:rFonts w:ascii="Arial" w:hAnsi="Arial" w:cs="Arial"/>
          <w:sz w:val="22"/>
          <w:szCs w:val="22"/>
        </w:rPr>
        <w:t xml:space="preserve"> ATTENDANCE</w:t>
      </w:r>
      <w:r w:rsidR="00C775BE">
        <w:rPr>
          <w:rFonts w:ascii="Arial" w:hAnsi="Arial" w:cs="Arial"/>
          <w:sz w:val="22"/>
          <w:szCs w:val="22"/>
        </w:rPr>
        <w:t>, and ENGAGEMENT</w:t>
      </w:r>
      <w:r w:rsidR="001D5A10">
        <w:rPr>
          <w:rFonts w:ascii="Arial" w:hAnsi="Arial" w:cs="Arial"/>
          <w:sz w:val="22"/>
          <w:szCs w:val="22"/>
        </w:rPr>
        <w:t xml:space="preserve"> </w:t>
      </w:r>
      <w:r w:rsidRPr="00422E87">
        <w:rPr>
          <w:rFonts w:ascii="Arial" w:hAnsi="Arial" w:cs="Arial"/>
          <w:sz w:val="22"/>
          <w:szCs w:val="22"/>
        </w:rPr>
        <w:t>PROCEDURE</w:t>
      </w:r>
      <w:r w:rsidR="00C775BE">
        <w:rPr>
          <w:rFonts w:ascii="Arial" w:hAnsi="Arial" w:cs="Arial"/>
          <w:sz w:val="22"/>
          <w:szCs w:val="22"/>
        </w:rPr>
        <w:t xml:space="preserve"> (UWAEP)</w:t>
      </w:r>
    </w:p>
    <w:p w14:paraId="7C8840FF" w14:textId="7FACE2BE" w:rsidR="00422E87" w:rsidRPr="00422E87" w:rsidRDefault="001D5A10" w:rsidP="002D233E">
      <w:pPr>
        <w:jc w:val="center"/>
        <w:rPr>
          <w:rFonts w:ascii="Arial" w:hAnsi="Arial" w:cs="Arial"/>
          <w:b/>
          <w:sz w:val="22"/>
          <w:szCs w:val="22"/>
        </w:rPr>
      </w:pPr>
      <w:r>
        <w:rPr>
          <w:rFonts w:ascii="Arial" w:hAnsi="Arial" w:cs="Arial"/>
          <w:b/>
          <w:sz w:val="22"/>
          <w:szCs w:val="22"/>
        </w:rPr>
        <w:t>(formerly the Unsatisfactory Student’s Procedure</w:t>
      </w:r>
      <w:r w:rsidR="00422E87" w:rsidRPr="00422E87">
        <w:rPr>
          <w:rFonts w:ascii="Arial" w:hAnsi="Arial" w:cs="Arial"/>
          <w:b/>
          <w:sz w:val="22"/>
          <w:szCs w:val="22"/>
        </w:rPr>
        <w:t>)</w:t>
      </w:r>
    </w:p>
    <w:p w14:paraId="68F27D58" w14:textId="77777777" w:rsidR="00422E87" w:rsidRPr="00422E87" w:rsidRDefault="00422E87" w:rsidP="002D233E">
      <w:pPr>
        <w:rPr>
          <w:rFonts w:ascii="Arial" w:hAnsi="Arial" w:cs="Arial"/>
          <w:b/>
          <w:sz w:val="22"/>
          <w:szCs w:val="22"/>
        </w:rPr>
      </w:pPr>
    </w:p>
    <w:p w14:paraId="29083C41" w14:textId="77777777" w:rsidR="007B5B99" w:rsidRDefault="007B5B99" w:rsidP="002D233E">
      <w:pPr>
        <w:rPr>
          <w:rFonts w:ascii="Arial" w:hAnsi="Arial" w:cs="Arial"/>
          <w:i/>
          <w:sz w:val="22"/>
          <w:szCs w:val="22"/>
        </w:rPr>
      </w:pPr>
    </w:p>
    <w:p w14:paraId="0ECCEA29" w14:textId="3411AF6A" w:rsidR="007B5B99" w:rsidRDefault="007B5B99" w:rsidP="002D233E">
      <w:pPr>
        <w:rPr>
          <w:rFonts w:ascii="Arial" w:hAnsi="Arial" w:cs="Arial"/>
          <w:i/>
          <w:sz w:val="22"/>
          <w:szCs w:val="22"/>
        </w:rPr>
      </w:pPr>
      <w:r>
        <w:rPr>
          <w:rFonts w:ascii="Arial" w:hAnsi="Arial" w:cs="Arial"/>
          <w:i/>
          <w:sz w:val="22"/>
          <w:szCs w:val="22"/>
        </w:rPr>
        <w:t>Students are expected to attend and engage with studies at the University, and the University provides support services to support students to do this.  It is understood that circumstances mean that students may sometimes not be able to attend or engage, and there are processes in place for students to advise Schools if they are unable to attend or engage.  Students are encouraged to engage with their School at all times to let them know what is happening.</w:t>
      </w:r>
    </w:p>
    <w:p w14:paraId="728F090E" w14:textId="12B397A2" w:rsidR="007B5B99" w:rsidRDefault="007B5B99" w:rsidP="002D233E">
      <w:pPr>
        <w:rPr>
          <w:rFonts w:ascii="Arial" w:hAnsi="Arial" w:cs="Arial"/>
          <w:i/>
          <w:sz w:val="22"/>
          <w:szCs w:val="22"/>
        </w:rPr>
      </w:pPr>
      <w:r>
        <w:rPr>
          <w:rFonts w:ascii="Arial" w:hAnsi="Arial" w:cs="Arial"/>
          <w:i/>
          <w:sz w:val="22"/>
          <w:szCs w:val="22"/>
        </w:rPr>
        <w:t xml:space="preserve"> </w:t>
      </w:r>
    </w:p>
    <w:p w14:paraId="1B56635C" w14:textId="54EB1B90" w:rsidR="00422E87" w:rsidRPr="00422E87" w:rsidRDefault="00422E87" w:rsidP="002D233E">
      <w:pPr>
        <w:rPr>
          <w:rFonts w:ascii="Arial" w:hAnsi="Arial" w:cs="Arial"/>
          <w:i/>
          <w:sz w:val="22"/>
          <w:szCs w:val="22"/>
        </w:rPr>
      </w:pPr>
      <w:r w:rsidRPr="00422E87">
        <w:rPr>
          <w:rFonts w:ascii="Arial" w:hAnsi="Arial" w:cs="Arial"/>
          <w:i/>
          <w:sz w:val="22"/>
          <w:szCs w:val="22"/>
        </w:rPr>
        <w:t xml:space="preserve">The Unsatisfactory </w:t>
      </w:r>
      <w:r w:rsidR="00C775BE">
        <w:rPr>
          <w:rFonts w:ascii="Arial" w:hAnsi="Arial" w:cs="Arial"/>
          <w:i/>
          <w:sz w:val="22"/>
          <w:szCs w:val="22"/>
        </w:rPr>
        <w:t xml:space="preserve">Work, </w:t>
      </w:r>
      <w:r w:rsidR="001D5A10">
        <w:rPr>
          <w:rFonts w:ascii="Arial" w:hAnsi="Arial" w:cs="Arial"/>
          <w:i/>
          <w:sz w:val="22"/>
          <w:szCs w:val="22"/>
        </w:rPr>
        <w:t>Attendance</w:t>
      </w:r>
      <w:r w:rsidR="00C775BE">
        <w:rPr>
          <w:rFonts w:ascii="Arial" w:hAnsi="Arial" w:cs="Arial"/>
          <w:i/>
          <w:sz w:val="22"/>
          <w:szCs w:val="22"/>
        </w:rPr>
        <w:t xml:space="preserve"> and Engagement</w:t>
      </w:r>
      <w:r w:rsidR="001D5A10">
        <w:rPr>
          <w:rFonts w:ascii="Arial" w:hAnsi="Arial" w:cs="Arial"/>
          <w:i/>
          <w:sz w:val="22"/>
          <w:szCs w:val="22"/>
        </w:rPr>
        <w:t xml:space="preserve"> </w:t>
      </w:r>
      <w:r w:rsidRPr="00422E87">
        <w:rPr>
          <w:rFonts w:ascii="Arial" w:hAnsi="Arial" w:cs="Arial"/>
          <w:i/>
          <w:sz w:val="22"/>
          <w:szCs w:val="22"/>
        </w:rPr>
        <w:t xml:space="preserve">Procedure is applied to </w:t>
      </w:r>
      <w:r w:rsidR="00142A30">
        <w:rPr>
          <w:rFonts w:ascii="Arial" w:hAnsi="Arial" w:cs="Arial"/>
          <w:i/>
          <w:sz w:val="22"/>
          <w:szCs w:val="22"/>
        </w:rPr>
        <w:t xml:space="preserve">all taught </w:t>
      </w:r>
      <w:r w:rsidRPr="00422E87">
        <w:rPr>
          <w:rFonts w:ascii="Arial" w:hAnsi="Arial" w:cs="Arial"/>
          <w:i/>
          <w:sz w:val="22"/>
          <w:szCs w:val="22"/>
        </w:rPr>
        <w:t xml:space="preserve">students whose </w:t>
      </w:r>
      <w:r w:rsidR="00C775BE">
        <w:rPr>
          <w:rFonts w:ascii="Arial" w:hAnsi="Arial" w:cs="Arial"/>
          <w:i/>
          <w:sz w:val="22"/>
          <w:szCs w:val="22"/>
        </w:rPr>
        <w:t xml:space="preserve">work, </w:t>
      </w:r>
      <w:r w:rsidRPr="00422E87">
        <w:rPr>
          <w:rFonts w:ascii="Arial" w:hAnsi="Arial" w:cs="Arial"/>
          <w:i/>
          <w:sz w:val="22"/>
          <w:szCs w:val="22"/>
        </w:rPr>
        <w:t>attendance</w:t>
      </w:r>
      <w:r w:rsidR="00C775BE">
        <w:rPr>
          <w:rFonts w:ascii="Arial" w:hAnsi="Arial" w:cs="Arial"/>
          <w:i/>
          <w:sz w:val="22"/>
          <w:szCs w:val="22"/>
        </w:rPr>
        <w:t xml:space="preserve"> or engagement</w:t>
      </w:r>
      <w:r w:rsidRPr="00422E87">
        <w:rPr>
          <w:rFonts w:ascii="Arial" w:hAnsi="Arial" w:cs="Arial"/>
          <w:i/>
          <w:sz w:val="22"/>
          <w:szCs w:val="22"/>
        </w:rPr>
        <w:t xml:space="preserve"> is unsatisfactory</w:t>
      </w:r>
      <w:r w:rsidRPr="00422E87">
        <w:rPr>
          <w:rStyle w:val="FootnoteReference"/>
          <w:rFonts w:ascii="Arial" w:eastAsiaTheme="majorEastAsia" w:hAnsi="Arial" w:cs="Arial"/>
          <w:i/>
          <w:sz w:val="22"/>
          <w:szCs w:val="22"/>
        </w:rPr>
        <w:footnoteReference w:id="1"/>
      </w:r>
      <w:r w:rsidRPr="00422E87">
        <w:rPr>
          <w:rFonts w:ascii="Arial" w:hAnsi="Arial" w:cs="Arial"/>
          <w:i/>
          <w:sz w:val="22"/>
          <w:szCs w:val="22"/>
        </w:rPr>
        <w:t xml:space="preserve">. </w:t>
      </w:r>
      <w:r w:rsidR="001D5A10">
        <w:rPr>
          <w:rFonts w:ascii="Arial" w:hAnsi="Arial" w:cs="Arial"/>
          <w:i/>
          <w:sz w:val="22"/>
          <w:szCs w:val="22"/>
        </w:rPr>
        <w:t xml:space="preserve"> </w:t>
      </w:r>
    </w:p>
    <w:p w14:paraId="5C39D68D" w14:textId="1AA913A3" w:rsidR="00142A30" w:rsidRPr="00142A30" w:rsidRDefault="00142A30" w:rsidP="00142A30">
      <w:pPr>
        <w:spacing w:before="100" w:beforeAutospacing="1" w:after="100" w:afterAutospacing="1"/>
        <w:rPr>
          <w:rFonts w:ascii="Arial" w:hAnsi="Arial" w:cs="Arial"/>
          <w:i/>
          <w:sz w:val="22"/>
          <w:szCs w:val="22"/>
        </w:rPr>
      </w:pPr>
      <w:r w:rsidRPr="00142A30">
        <w:rPr>
          <w:rFonts w:ascii="Arial" w:hAnsi="Arial" w:cs="Arial"/>
          <w:i/>
          <w:sz w:val="22"/>
          <w:szCs w:val="22"/>
        </w:rPr>
        <w:t xml:space="preserve">The </w:t>
      </w:r>
      <w:bookmarkStart w:id="1" w:name="_ednref1"/>
      <w:r w:rsidRPr="00142A30">
        <w:rPr>
          <w:rFonts w:ascii="Arial" w:hAnsi="Arial" w:cs="Arial"/>
          <w:i/>
          <w:sz w:val="22"/>
          <w:szCs w:val="22"/>
        </w:rPr>
        <w:t>S</w:t>
      </w:r>
      <w:r w:rsidR="004A55D4">
        <w:rPr>
          <w:rFonts w:ascii="Arial" w:hAnsi="Arial" w:cs="Arial"/>
          <w:i/>
          <w:sz w:val="22"/>
          <w:szCs w:val="22"/>
        </w:rPr>
        <w:t xml:space="preserve">tudent Cases Team in the Secretariat </w:t>
      </w:r>
      <w:r w:rsidRPr="00142A30">
        <w:rPr>
          <w:rFonts w:ascii="Arial" w:hAnsi="Arial" w:cs="Arial"/>
          <w:i/>
          <w:sz w:val="22"/>
          <w:szCs w:val="22"/>
        </w:rPr>
        <w:t xml:space="preserve">oversees the administration of </w:t>
      </w:r>
      <w:r w:rsidR="00171C33">
        <w:rPr>
          <w:rFonts w:ascii="Arial" w:hAnsi="Arial" w:cs="Arial"/>
          <w:i/>
          <w:sz w:val="22"/>
          <w:szCs w:val="22"/>
        </w:rPr>
        <w:t>the P</w:t>
      </w:r>
      <w:r>
        <w:rPr>
          <w:rFonts w:ascii="Arial" w:hAnsi="Arial" w:cs="Arial"/>
          <w:i/>
          <w:sz w:val="22"/>
          <w:szCs w:val="22"/>
        </w:rPr>
        <w:t>rocedure</w:t>
      </w:r>
      <w:r w:rsidR="004A55D4">
        <w:rPr>
          <w:rFonts w:ascii="Arial" w:hAnsi="Arial" w:cs="Arial"/>
          <w:i/>
          <w:sz w:val="22"/>
          <w:szCs w:val="22"/>
        </w:rPr>
        <w:t>.</w:t>
      </w:r>
      <w:bookmarkEnd w:id="1"/>
    </w:p>
    <w:p w14:paraId="44EA8C9E" w14:textId="61E735F5" w:rsidR="00422E87" w:rsidRPr="00422E87" w:rsidRDefault="00422E87" w:rsidP="002D233E">
      <w:pPr>
        <w:rPr>
          <w:rFonts w:ascii="Arial" w:hAnsi="Arial" w:cs="Arial"/>
          <w:i/>
          <w:sz w:val="22"/>
          <w:szCs w:val="22"/>
        </w:rPr>
      </w:pPr>
      <w:r w:rsidRPr="00721B43">
        <w:rPr>
          <w:rFonts w:ascii="Arial" w:hAnsi="Arial" w:cs="Arial"/>
          <w:i/>
          <w:sz w:val="22"/>
          <w:szCs w:val="22"/>
        </w:rPr>
        <w:t xml:space="preserve">Students </w:t>
      </w:r>
      <w:r w:rsidR="004A55D4" w:rsidRPr="00721B43">
        <w:rPr>
          <w:rFonts w:ascii="Arial" w:hAnsi="Arial" w:cs="Arial"/>
          <w:i/>
          <w:sz w:val="22"/>
          <w:szCs w:val="22"/>
        </w:rPr>
        <w:t>are encouraged to</w:t>
      </w:r>
      <w:r w:rsidRPr="00721B43">
        <w:rPr>
          <w:rFonts w:ascii="Arial" w:hAnsi="Arial" w:cs="Arial"/>
          <w:i/>
          <w:sz w:val="22"/>
          <w:szCs w:val="22"/>
        </w:rPr>
        <w:t xml:space="preserve"> seek independent advice and suppor</w:t>
      </w:r>
      <w:r w:rsidR="00D604D4" w:rsidRPr="00721B43">
        <w:rPr>
          <w:rFonts w:ascii="Arial" w:hAnsi="Arial" w:cs="Arial"/>
          <w:i/>
          <w:sz w:val="22"/>
          <w:szCs w:val="22"/>
        </w:rPr>
        <w:t>t from LUU Help and Support</w:t>
      </w:r>
      <w:r w:rsidR="001D5A10" w:rsidRPr="00721B43">
        <w:rPr>
          <w:rFonts w:ascii="Arial" w:hAnsi="Arial" w:cs="Arial"/>
          <w:i/>
          <w:sz w:val="22"/>
          <w:szCs w:val="22"/>
        </w:rPr>
        <w:t xml:space="preserve"> </w:t>
      </w:r>
      <w:r w:rsidR="009A3A4F" w:rsidRPr="00721B43">
        <w:rPr>
          <w:rFonts w:ascii="Arial" w:hAnsi="Arial" w:cs="Arial"/>
          <w:i/>
          <w:sz w:val="22"/>
          <w:szCs w:val="22"/>
        </w:rPr>
        <w:t>https://www.luu.org.uk/help-support/</w:t>
      </w:r>
      <w:r w:rsidRPr="00721B43">
        <w:rPr>
          <w:rFonts w:ascii="Arial" w:hAnsi="Arial" w:cs="Arial"/>
          <w:i/>
          <w:sz w:val="22"/>
          <w:szCs w:val="22"/>
        </w:rPr>
        <w:t>.</w:t>
      </w:r>
    </w:p>
    <w:p w14:paraId="60C858A5" w14:textId="77777777" w:rsidR="00422E87" w:rsidRPr="00422E87" w:rsidRDefault="00422E87" w:rsidP="002D233E">
      <w:pPr>
        <w:ind w:left="360" w:hanging="360"/>
        <w:rPr>
          <w:rFonts w:ascii="Arial" w:hAnsi="Arial" w:cs="Arial"/>
          <w:sz w:val="22"/>
          <w:szCs w:val="22"/>
        </w:rPr>
      </w:pPr>
    </w:p>
    <w:p w14:paraId="0F5113A9" w14:textId="77777777" w:rsidR="00422E87" w:rsidRPr="00422E87" w:rsidRDefault="00422E87" w:rsidP="002D233E">
      <w:pPr>
        <w:ind w:left="360" w:hanging="360"/>
        <w:rPr>
          <w:rFonts w:ascii="Arial" w:hAnsi="Arial" w:cs="Arial"/>
          <w:i/>
          <w:sz w:val="22"/>
          <w:szCs w:val="22"/>
        </w:rPr>
      </w:pPr>
    </w:p>
    <w:p w14:paraId="5C4463DD" w14:textId="4D2E7D25" w:rsidR="00422E87" w:rsidRPr="00422E87" w:rsidRDefault="00422E87" w:rsidP="002D233E">
      <w:pPr>
        <w:numPr>
          <w:ilvl w:val="0"/>
          <w:numId w:val="21"/>
        </w:numPr>
        <w:rPr>
          <w:rFonts w:ascii="Arial" w:hAnsi="Arial" w:cs="Arial"/>
          <w:b/>
          <w:sz w:val="22"/>
          <w:szCs w:val="22"/>
        </w:rPr>
      </w:pPr>
      <w:r w:rsidRPr="00422E87">
        <w:rPr>
          <w:rFonts w:ascii="Arial" w:hAnsi="Arial" w:cs="Arial"/>
          <w:b/>
          <w:sz w:val="22"/>
          <w:szCs w:val="22"/>
        </w:rPr>
        <w:t>Presumed Withdrawn</w:t>
      </w:r>
      <w:r w:rsidR="00082D40">
        <w:rPr>
          <w:rFonts w:ascii="Arial" w:hAnsi="Arial" w:cs="Arial"/>
          <w:b/>
          <w:sz w:val="22"/>
          <w:szCs w:val="22"/>
        </w:rPr>
        <w:t xml:space="preserve"> Procedure</w:t>
      </w:r>
    </w:p>
    <w:p w14:paraId="40C82CAA" w14:textId="77777777" w:rsidR="00422E87" w:rsidRPr="00422E87" w:rsidRDefault="00422E87" w:rsidP="002D233E">
      <w:pPr>
        <w:ind w:left="360"/>
        <w:rPr>
          <w:rFonts w:ascii="Arial" w:hAnsi="Arial" w:cs="Arial"/>
          <w:sz w:val="22"/>
          <w:szCs w:val="22"/>
        </w:rPr>
      </w:pPr>
    </w:p>
    <w:p w14:paraId="7346FC3F" w14:textId="735B59DE" w:rsidR="00422E87" w:rsidRPr="00422E87" w:rsidRDefault="00422E87" w:rsidP="002D233E">
      <w:pPr>
        <w:ind w:left="360"/>
        <w:rPr>
          <w:rFonts w:ascii="Arial" w:hAnsi="Arial" w:cs="Arial"/>
          <w:sz w:val="22"/>
          <w:szCs w:val="22"/>
        </w:rPr>
      </w:pPr>
      <w:r w:rsidRPr="00422E87">
        <w:rPr>
          <w:rFonts w:ascii="Arial" w:hAnsi="Arial" w:cs="Arial"/>
          <w:sz w:val="22"/>
          <w:szCs w:val="22"/>
        </w:rPr>
        <w:t xml:space="preserve">Where a student is absent such that </w:t>
      </w:r>
      <w:r w:rsidR="00C775BE">
        <w:rPr>
          <w:rFonts w:ascii="Arial" w:hAnsi="Arial" w:cs="Arial"/>
          <w:sz w:val="22"/>
          <w:szCs w:val="22"/>
        </w:rPr>
        <w:t>they appear</w:t>
      </w:r>
      <w:r w:rsidRPr="00422E87">
        <w:rPr>
          <w:rFonts w:ascii="Arial" w:hAnsi="Arial" w:cs="Arial"/>
          <w:sz w:val="22"/>
          <w:szCs w:val="22"/>
        </w:rPr>
        <w:t xml:space="preserve"> to have withdrawn from the Universi</w:t>
      </w:r>
      <w:r w:rsidR="00C775BE">
        <w:rPr>
          <w:rFonts w:ascii="Arial" w:hAnsi="Arial" w:cs="Arial"/>
          <w:sz w:val="22"/>
          <w:szCs w:val="22"/>
        </w:rPr>
        <w:t xml:space="preserve">ty, a School may </w:t>
      </w:r>
      <w:r w:rsidR="001D5A10">
        <w:rPr>
          <w:rFonts w:ascii="Arial" w:hAnsi="Arial" w:cs="Arial"/>
          <w:sz w:val="22"/>
          <w:szCs w:val="22"/>
        </w:rPr>
        <w:t>notify Student Operations</w:t>
      </w:r>
      <w:r w:rsidRPr="00422E87">
        <w:rPr>
          <w:rFonts w:ascii="Arial" w:hAnsi="Arial" w:cs="Arial"/>
          <w:sz w:val="22"/>
          <w:szCs w:val="22"/>
        </w:rPr>
        <w:t xml:space="preserve"> and ask that a Presumed</w:t>
      </w:r>
      <w:r w:rsidR="00C775BE">
        <w:rPr>
          <w:rFonts w:ascii="Arial" w:hAnsi="Arial" w:cs="Arial"/>
          <w:sz w:val="22"/>
          <w:szCs w:val="22"/>
        </w:rPr>
        <w:t xml:space="preserve"> Withdrawn Letter is sent to a</w:t>
      </w:r>
      <w:r w:rsidRPr="00422E87">
        <w:rPr>
          <w:rFonts w:ascii="Arial" w:hAnsi="Arial" w:cs="Arial"/>
          <w:sz w:val="22"/>
          <w:szCs w:val="22"/>
        </w:rPr>
        <w:t xml:space="preserve"> student.  </w:t>
      </w:r>
    </w:p>
    <w:p w14:paraId="7CAED155" w14:textId="77777777" w:rsidR="00422E87" w:rsidRPr="00422E87" w:rsidRDefault="00422E87" w:rsidP="002D233E">
      <w:pPr>
        <w:ind w:left="360"/>
        <w:rPr>
          <w:rFonts w:ascii="Arial" w:hAnsi="Arial" w:cs="Arial"/>
          <w:sz w:val="22"/>
          <w:szCs w:val="22"/>
        </w:rPr>
      </w:pPr>
    </w:p>
    <w:p w14:paraId="42F5385B" w14:textId="2F9330D0" w:rsidR="00C775BE" w:rsidRDefault="00422E87" w:rsidP="00C775BE">
      <w:pPr>
        <w:ind w:firstLine="360"/>
        <w:rPr>
          <w:rFonts w:ascii="Arial" w:hAnsi="Arial" w:cs="Arial"/>
          <w:sz w:val="22"/>
          <w:szCs w:val="22"/>
        </w:rPr>
      </w:pPr>
      <w:r w:rsidRPr="00422E87">
        <w:rPr>
          <w:rFonts w:ascii="Arial" w:hAnsi="Arial" w:cs="Arial"/>
          <w:sz w:val="22"/>
          <w:szCs w:val="22"/>
        </w:rPr>
        <w:t>If there is no response from the student within two weeks, the presum</w:t>
      </w:r>
      <w:r w:rsidR="004A55D4">
        <w:rPr>
          <w:rFonts w:ascii="Arial" w:hAnsi="Arial" w:cs="Arial"/>
          <w:sz w:val="22"/>
          <w:szCs w:val="22"/>
        </w:rPr>
        <w:t xml:space="preserve">ption will be </w:t>
      </w:r>
    </w:p>
    <w:p w14:paraId="6852D5AA" w14:textId="77777777" w:rsidR="00C775BE" w:rsidRDefault="004A55D4" w:rsidP="00C775BE">
      <w:pPr>
        <w:ind w:firstLine="360"/>
        <w:rPr>
          <w:rFonts w:ascii="Arial" w:hAnsi="Arial" w:cs="Arial"/>
          <w:sz w:val="22"/>
          <w:szCs w:val="22"/>
        </w:rPr>
      </w:pPr>
      <w:r>
        <w:rPr>
          <w:rFonts w:ascii="Arial" w:hAnsi="Arial" w:cs="Arial"/>
          <w:sz w:val="22"/>
          <w:szCs w:val="22"/>
        </w:rPr>
        <w:t>confirmed and Student Operations</w:t>
      </w:r>
      <w:r w:rsidR="00422E87" w:rsidRPr="00422E87">
        <w:rPr>
          <w:rFonts w:ascii="Arial" w:hAnsi="Arial" w:cs="Arial"/>
          <w:sz w:val="22"/>
          <w:szCs w:val="22"/>
        </w:rPr>
        <w:t xml:space="preserve"> will amend the record.</w:t>
      </w:r>
    </w:p>
    <w:p w14:paraId="28550D96" w14:textId="77777777" w:rsidR="00C775BE" w:rsidRDefault="00C775BE" w:rsidP="00C775BE">
      <w:pPr>
        <w:ind w:firstLine="360"/>
        <w:rPr>
          <w:rFonts w:ascii="Arial" w:hAnsi="Arial" w:cs="Arial"/>
          <w:sz w:val="22"/>
          <w:szCs w:val="22"/>
        </w:rPr>
      </w:pPr>
    </w:p>
    <w:p w14:paraId="5A604EBC" w14:textId="77777777" w:rsidR="00C775BE" w:rsidRDefault="00422E87" w:rsidP="00C775BE">
      <w:pPr>
        <w:ind w:firstLine="360"/>
        <w:rPr>
          <w:rFonts w:ascii="Arial" w:hAnsi="Arial" w:cs="Arial"/>
          <w:sz w:val="22"/>
          <w:szCs w:val="22"/>
        </w:rPr>
      </w:pPr>
      <w:r w:rsidRPr="00422E87">
        <w:rPr>
          <w:rFonts w:ascii="Arial" w:hAnsi="Arial" w:cs="Arial"/>
          <w:sz w:val="22"/>
          <w:szCs w:val="22"/>
        </w:rPr>
        <w:t xml:space="preserve">If the student does respond (other than to confirm withdrawal) this will not itself confer </w:t>
      </w:r>
    </w:p>
    <w:p w14:paraId="3F8F6694" w14:textId="0A877853" w:rsidR="00422E87" w:rsidRPr="00422E87" w:rsidRDefault="00422E87" w:rsidP="00C775BE">
      <w:pPr>
        <w:ind w:left="360"/>
        <w:rPr>
          <w:rFonts w:ascii="Arial" w:hAnsi="Arial" w:cs="Arial"/>
          <w:sz w:val="22"/>
          <w:szCs w:val="22"/>
        </w:rPr>
      </w:pPr>
      <w:r w:rsidRPr="00422E87">
        <w:rPr>
          <w:rFonts w:ascii="Arial" w:hAnsi="Arial" w:cs="Arial"/>
          <w:sz w:val="22"/>
          <w:szCs w:val="22"/>
        </w:rPr>
        <w:t>eligibility to restart.  In these circumstances Schools should seek advic</w:t>
      </w:r>
      <w:r w:rsidR="00C775BE">
        <w:rPr>
          <w:rFonts w:ascii="Arial" w:hAnsi="Arial" w:cs="Arial"/>
          <w:sz w:val="22"/>
          <w:szCs w:val="22"/>
        </w:rPr>
        <w:t>e from the Student  Cases Team</w:t>
      </w:r>
      <w:r w:rsidRPr="00422E87">
        <w:rPr>
          <w:rFonts w:ascii="Arial" w:hAnsi="Arial" w:cs="Arial"/>
          <w:sz w:val="22"/>
          <w:szCs w:val="22"/>
        </w:rPr>
        <w:t>.</w:t>
      </w:r>
    </w:p>
    <w:p w14:paraId="033AC4BD" w14:textId="77777777" w:rsidR="00422E87" w:rsidRPr="00422E87" w:rsidRDefault="00422E87" w:rsidP="002D233E">
      <w:pPr>
        <w:ind w:left="1069" w:hanging="709"/>
        <w:rPr>
          <w:rFonts w:ascii="Arial" w:hAnsi="Arial" w:cs="Arial"/>
          <w:i/>
          <w:sz w:val="22"/>
          <w:szCs w:val="22"/>
        </w:rPr>
      </w:pPr>
    </w:p>
    <w:p w14:paraId="23FA2017" w14:textId="55901583" w:rsidR="00422E87" w:rsidRPr="0071674B" w:rsidRDefault="00422E87" w:rsidP="0071674B">
      <w:pPr>
        <w:ind w:left="360"/>
        <w:rPr>
          <w:rFonts w:ascii="Arial" w:hAnsi="Arial" w:cs="Arial"/>
          <w:sz w:val="22"/>
          <w:szCs w:val="22"/>
        </w:rPr>
      </w:pPr>
      <w:r w:rsidRPr="0071674B">
        <w:rPr>
          <w:rFonts w:ascii="Arial" w:hAnsi="Arial" w:cs="Arial"/>
          <w:sz w:val="22"/>
          <w:szCs w:val="22"/>
        </w:rPr>
        <w:t>A student who is absent from classes for more th</w:t>
      </w:r>
      <w:r w:rsidR="00CE063F">
        <w:rPr>
          <w:rFonts w:ascii="Arial" w:hAnsi="Arial" w:cs="Arial"/>
          <w:sz w:val="22"/>
          <w:szCs w:val="22"/>
        </w:rPr>
        <w:t>an 4 weeks cannot be readmitted to the University</w:t>
      </w:r>
      <w:r w:rsidR="00082D40" w:rsidRPr="0071674B">
        <w:rPr>
          <w:rFonts w:ascii="Arial" w:hAnsi="Arial" w:cs="Arial"/>
          <w:sz w:val="22"/>
          <w:szCs w:val="22"/>
        </w:rPr>
        <w:t xml:space="preserve"> </w:t>
      </w:r>
      <w:r w:rsidRPr="0071674B">
        <w:rPr>
          <w:rFonts w:ascii="Arial" w:hAnsi="Arial" w:cs="Arial"/>
          <w:sz w:val="22"/>
          <w:szCs w:val="22"/>
        </w:rPr>
        <w:t>without special permission which must be soug</w:t>
      </w:r>
      <w:r w:rsidR="004A55D4" w:rsidRPr="0071674B">
        <w:rPr>
          <w:rFonts w:ascii="Arial" w:hAnsi="Arial" w:cs="Arial"/>
          <w:sz w:val="22"/>
          <w:szCs w:val="22"/>
        </w:rPr>
        <w:t>ht by the School from the Student Cases Team</w:t>
      </w:r>
      <w:r w:rsidRPr="0071674B">
        <w:rPr>
          <w:rFonts w:ascii="Arial" w:hAnsi="Arial" w:cs="Arial"/>
          <w:sz w:val="22"/>
          <w:szCs w:val="22"/>
        </w:rPr>
        <w:t>.</w:t>
      </w:r>
    </w:p>
    <w:p w14:paraId="794DC3CC" w14:textId="77777777" w:rsidR="00422E87" w:rsidRPr="00422E87" w:rsidRDefault="00422E87" w:rsidP="002D233E">
      <w:pPr>
        <w:rPr>
          <w:rFonts w:ascii="Arial" w:hAnsi="Arial" w:cs="Arial"/>
          <w:sz w:val="22"/>
          <w:szCs w:val="22"/>
        </w:rPr>
      </w:pPr>
    </w:p>
    <w:p w14:paraId="7E80D01C" w14:textId="77777777" w:rsidR="00422E87" w:rsidRPr="00885A8D" w:rsidRDefault="00422E87" w:rsidP="002D233E">
      <w:pPr>
        <w:pStyle w:val="BodyText2"/>
        <w:numPr>
          <w:ilvl w:val="0"/>
          <w:numId w:val="21"/>
        </w:numPr>
        <w:spacing w:before="0" w:beforeAutospacing="0" w:afterAutospacing="0"/>
        <w:rPr>
          <w:rFonts w:ascii="Arial" w:hAnsi="Arial" w:cs="Arial"/>
          <w:b/>
        </w:rPr>
      </w:pPr>
      <w:r w:rsidRPr="00885A8D">
        <w:rPr>
          <w:rFonts w:ascii="Arial" w:hAnsi="Arial" w:cs="Arial"/>
          <w:b/>
        </w:rPr>
        <w:t>Warning Procedure</w:t>
      </w:r>
    </w:p>
    <w:p w14:paraId="4EEDBCD1" w14:textId="77777777" w:rsidR="00422E87" w:rsidRPr="00422E87" w:rsidRDefault="00422E87" w:rsidP="002D233E">
      <w:pPr>
        <w:ind w:left="360"/>
        <w:rPr>
          <w:rFonts w:ascii="Arial" w:hAnsi="Arial" w:cs="Arial"/>
          <w:sz w:val="22"/>
          <w:szCs w:val="22"/>
        </w:rPr>
      </w:pPr>
    </w:p>
    <w:p w14:paraId="77F0D2E5" w14:textId="15C27115" w:rsidR="00422E87" w:rsidRPr="00422E87" w:rsidRDefault="00422E87" w:rsidP="004A55D4">
      <w:pPr>
        <w:pStyle w:val="BodyTextIndent2"/>
        <w:ind w:left="360" w:firstLine="11"/>
        <w:rPr>
          <w:rFonts w:ascii="Arial" w:hAnsi="Arial" w:cs="Arial"/>
        </w:rPr>
      </w:pPr>
      <w:r w:rsidRPr="00422E87">
        <w:rPr>
          <w:rFonts w:ascii="Arial" w:hAnsi="Arial" w:cs="Arial"/>
        </w:rPr>
        <w:t>Any student whose work (including a failure to subm</w:t>
      </w:r>
      <w:r w:rsidR="00885A8D">
        <w:rPr>
          <w:rFonts w:ascii="Arial" w:hAnsi="Arial" w:cs="Arial"/>
        </w:rPr>
        <w:t xml:space="preserve">it work on time), attendance or </w:t>
      </w:r>
      <w:r w:rsidR="00082D40">
        <w:rPr>
          <w:rFonts w:ascii="Arial" w:hAnsi="Arial" w:cs="Arial"/>
        </w:rPr>
        <w:t>engagement</w:t>
      </w:r>
      <w:r w:rsidRPr="00422E87">
        <w:rPr>
          <w:rFonts w:ascii="Arial" w:hAnsi="Arial" w:cs="Arial"/>
        </w:rPr>
        <w:t xml:space="preserve"> is unsatisfactory will be warned at an early stage.  Initially this may be informal but if there is no immediate improvement and no satisfactory explanation from the student the Head of the Parent School will apply the following procedure:</w:t>
      </w:r>
    </w:p>
    <w:p w14:paraId="69722E89" w14:textId="77777777" w:rsidR="00422E87" w:rsidRPr="00422E87" w:rsidRDefault="00422E87" w:rsidP="002D233E">
      <w:pPr>
        <w:ind w:left="360"/>
        <w:rPr>
          <w:rFonts w:ascii="Arial" w:hAnsi="Arial" w:cs="Arial"/>
          <w:sz w:val="22"/>
          <w:szCs w:val="22"/>
        </w:rPr>
      </w:pPr>
    </w:p>
    <w:p w14:paraId="3ECAF5A4" w14:textId="77777777" w:rsidR="00082D40" w:rsidRPr="00082D40" w:rsidRDefault="00082D40" w:rsidP="002D233E">
      <w:pPr>
        <w:pStyle w:val="BodyTextIndent3"/>
        <w:numPr>
          <w:ilvl w:val="1"/>
          <w:numId w:val="21"/>
        </w:numPr>
        <w:spacing w:after="0"/>
        <w:rPr>
          <w:rFonts w:ascii="Arial" w:hAnsi="Arial" w:cs="Arial"/>
          <w:sz w:val="22"/>
          <w:szCs w:val="22"/>
          <w:u w:val="single"/>
        </w:rPr>
      </w:pPr>
      <w:r w:rsidRPr="00082D40">
        <w:rPr>
          <w:rFonts w:ascii="Arial" w:hAnsi="Arial" w:cs="Arial"/>
          <w:sz w:val="22"/>
          <w:szCs w:val="22"/>
          <w:u w:val="single"/>
        </w:rPr>
        <w:t>First Formal Meeting</w:t>
      </w:r>
    </w:p>
    <w:p w14:paraId="50BBD8CA" w14:textId="77777777" w:rsidR="00082D40" w:rsidRDefault="00082D40" w:rsidP="00082D40">
      <w:pPr>
        <w:pStyle w:val="BodyTextIndent3"/>
        <w:spacing w:after="0"/>
        <w:ind w:left="720"/>
        <w:rPr>
          <w:rFonts w:ascii="Arial" w:hAnsi="Arial" w:cs="Arial"/>
          <w:sz w:val="22"/>
          <w:szCs w:val="22"/>
        </w:rPr>
      </w:pPr>
    </w:p>
    <w:p w14:paraId="6DD2C359" w14:textId="21F1B510" w:rsidR="00422E87" w:rsidRDefault="00422E87" w:rsidP="00082D40">
      <w:pPr>
        <w:pStyle w:val="BodyTextIndent3"/>
        <w:spacing w:after="0"/>
        <w:ind w:left="720"/>
        <w:rPr>
          <w:rFonts w:ascii="Arial" w:hAnsi="Arial" w:cs="Arial"/>
          <w:sz w:val="22"/>
          <w:szCs w:val="22"/>
        </w:rPr>
      </w:pPr>
      <w:r w:rsidRPr="00422E87">
        <w:rPr>
          <w:rFonts w:ascii="Arial" w:hAnsi="Arial" w:cs="Arial"/>
          <w:sz w:val="22"/>
          <w:szCs w:val="22"/>
        </w:rPr>
        <w:t xml:space="preserve">Where after investigation the case is judged sufficiently serious the Head of School or nominee will interview the student.  If there is no satisfactory explanation the student will be issued with a </w:t>
      </w:r>
      <w:r w:rsidRPr="00422E87">
        <w:rPr>
          <w:rFonts w:ascii="Arial" w:hAnsi="Arial" w:cs="Arial"/>
          <w:b/>
          <w:sz w:val="22"/>
          <w:szCs w:val="22"/>
        </w:rPr>
        <w:t>First Formal Written Warning</w:t>
      </w:r>
      <w:r w:rsidRPr="00422E87">
        <w:rPr>
          <w:rFonts w:ascii="Arial" w:hAnsi="Arial" w:cs="Arial"/>
          <w:sz w:val="22"/>
          <w:szCs w:val="22"/>
        </w:rPr>
        <w:t xml:space="preserve"> (see 2.6).  This First Formal Written Warn</w:t>
      </w:r>
      <w:r w:rsidR="00C775BE">
        <w:rPr>
          <w:rFonts w:ascii="Arial" w:hAnsi="Arial" w:cs="Arial"/>
          <w:sz w:val="22"/>
          <w:szCs w:val="22"/>
        </w:rPr>
        <w:t>ing will be copied to the Student Cases Team</w:t>
      </w:r>
      <w:r w:rsidRPr="00422E87">
        <w:rPr>
          <w:rFonts w:ascii="Arial" w:hAnsi="Arial" w:cs="Arial"/>
          <w:sz w:val="22"/>
          <w:szCs w:val="22"/>
        </w:rPr>
        <w:t xml:space="preserve"> for the student’s file.</w:t>
      </w:r>
    </w:p>
    <w:p w14:paraId="4DBAB69A" w14:textId="77777777" w:rsidR="00142A30" w:rsidRPr="00422E87" w:rsidRDefault="00142A30" w:rsidP="00142A30">
      <w:pPr>
        <w:pStyle w:val="BodyTextIndent3"/>
        <w:spacing w:after="0"/>
        <w:ind w:left="720"/>
        <w:rPr>
          <w:rFonts w:ascii="Arial" w:hAnsi="Arial" w:cs="Arial"/>
          <w:sz w:val="22"/>
          <w:szCs w:val="22"/>
        </w:rPr>
      </w:pPr>
    </w:p>
    <w:p w14:paraId="7771756C" w14:textId="4BEF33D8" w:rsidR="00082D40" w:rsidRPr="00082D40" w:rsidRDefault="00082D40" w:rsidP="002D233E">
      <w:pPr>
        <w:numPr>
          <w:ilvl w:val="1"/>
          <w:numId w:val="21"/>
        </w:numPr>
        <w:rPr>
          <w:rFonts w:ascii="Arial" w:hAnsi="Arial" w:cs="Arial"/>
          <w:sz w:val="22"/>
          <w:szCs w:val="22"/>
          <w:u w:val="single"/>
        </w:rPr>
      </w:pPr>
      <w:r w:rsidRPr="00082D40">
        <w:rPr>
          <w:rFonts w:ascii="Arial" w:hAnsi="Arial" w:cs="Arial"/>
          <w:sz w:val="22"/>
          <w:szCs w:val="22"/>
          <w:u w:val="single"/>
        </w:rPr>
        <w:lastRenderedPageBreak/>
        <w:t>Second Formal Warning</w:t>
      </w:r>
    </w:p>
    <w:p w14:paraId="32A4BDF6" w14:textId="77777777" w:rsidR="00082D40" w:rsidRDefault="00082D40" w:rsidP="00082D40">
      <w:pPr>
        <w:ind w:left="720"/>
        <w:rPr>
          <w:rFonts w:ascii="Arial" w:hAnsi="Arial" w:cs="Arial"/>
          <w:sz w:val="22"/>
          <w:szCs w:val="22"/>
        </w:rPr>
      </w:pPr>
    </w:p>
    <w:p w14:paraId="3F948247" w14:textId="2A77A680" w:rsidR="00422E87" w:rsidRPr="00422E87" w:rsidRDefault="00082D40" w:rsidP="0071674B">
      <w:pPr>
        <w:ind w:left="916" w:hanging="556"/>
        <w:rPr>
          <w:rFonts w:ascii="Arial" w:hAnsi="Arial" w:cs="Arial"/>
          <w:sz w:val="22"/>
          <w:szCs w:val="22"/>
        </w:rPr>
      </w:pPr>
      <w:r>
        <w:rPr>
          <w:rFonts w:ascii="Arial" w:hAnsi="Arial" w:cs="Arial"/>
          <w:sz w:val="22"/>
          <w:szCs w:val="22"/>
        </w:rPr>
        <w:t xml:space="preserve">2.2.1 </w:t>
      </w:r>
      <w:r w:rsidR="00422E87" w:rsidRPr="00422E87">
        <w:rPr>
          <w:rFonts w:ascii="Arial" w:hAnsi="Arial" w:cs="Arial"/>
          <w:sz w:val="22"/>
          <w:szCs w:val="22"/>
        </w:rPr>
        <w:t>Where the student's work/attendance/</w:t>
      </w:r>
      <w:r>
        <w:rPr>
          <w:rFonts w:ascii="Arial" w:hAnsi="Arial" w:cs="Arial"/>
          <w:sz w:val="22"/>
          <w:szCs w:val="22"/>
        </w:rPr>
        <w:t xml:space="preserve">engagement </w:t>
      </w:r>
      <w:r w:rsidR="00422E87" w:rsidRPr="00422E87">
        <w:rPr>
          <w:rFonts w:ascii="Arial" w:hAnsi="Arial" w:cs="Arial"/>
          <w:sz w:val="22"/>
          <w:szCs w:val="22"/>
        </w:rPr>
        <w:t xml:space="preserve">does not reach a satisfactory standard, the Parent School will issue a </w:t>
      </w:r>
      <w:r w:rsidR="00422E87" w:rsidRPr="00422E87">
        <w:rPr>
          <w:rFonts w:ascii="Arial" w:hAnsi="Arial" w:cs="Arial"/>
          <w:b/>
          <w:sz w:val="22"/>
          <w:szCs w:val="22"/>
        </w:rPr>
        <w:t>Second Formal Written Warning</w:t>
      </w:r>
      <w:r w:rsidR="00422E87" w:rsidRPr="00422E87">
        <w:rPr>
          <w:rFonts w:ascii="Arial" w:hAnsi="Arial" w:cs="Arial"/>
          <w:sz w:val="22"/>
          <w:szCs w:val="22"/>
        </w:rPr>
        <w:t>.  T</w:t>
      </w:r>
      <w:r>
        <w:rPr>
          <w:rFonts w:ascii="Arial" w:hAnsi="Arial" w:cs="Arial"/>
          <w:sz w:val="22"/>
          <w:szCs w:val="22"/>
        </w:rPr>
        <w:t>his will be copied to the Student Cases Team</w:t>
      </w:r>
      <w:r w:rsidR="00422E87" w:rsidRPr="00422E87">
        <w:rPr>
          <w:rFonts w:ascii="Arial" w:hAnsi="Arial" w:cs="Arial"/>
          <w:sz w:val="22"/>
          <w:szCs w:val="22"/>
        </w:rPr>
        <w:t>.  The School will supply a list of dates of absences (including those that led to the First Formal Warning), copies of correspondence in which warnings, both formal and informal, have been given, notes of meetings in the School with the student and a list of any work outstanding.</w:t>
      </w:r>
    </w:p>
    <w:p w14:paraId="2E3A715B" w14:textId="77777777" w:rsidR="00422E87" w:rsidRPr="00422E87" w:rsidRDefault="00422E87" w:rsidP="0071674B">
      <w:pPr>
        <w:ind w:left="916" w:hanging="556"/>
        <w:rPr>
          <w:rFonts w:ascii="Arial" w:hAnsi="Arial" w:cs="Arial"/>
          <w:sz w:val="22"/>
          <w:szCs w:val="22"/>
        </w:rPr>
      </w:pPr>
    </w:p>
    <w:p w14:paraId="742F5F83" w14:textId="1BD90F23" w:rsidR="00422E87" w:rsidRPr="00422E87" w:rsidRDefault="00422E87" w:rsidP="0071674B">
      <w:pPr>
        <w:ind w:left="1472" w:hanging="556"/>
        <w:rPr>
          <w:rFonts w:ascii="Arial" w:hAnsi="Arial" w:cs="Arial"/>
          <w:sz w:val="22"/>
          <w:szCs w:val="22"/>
        </w:rPr>
      </w:pPr>
      <w:r w:rsidRPr="00422E87">
        <w:rPr>
          <w:rFonts w:ascii="Arial" w:hAnsi="Arial" w:cs="Arial"/>
          <w:sz w:val="22"/>
          <w:szCs w:val="22"/>
        </w:rPr>
        <w:t xml:space="preserve">The student will be interviewed by the Head of </w:t>
      </w:r>
      <w:r w:rsidR="00E013AE">
        <w:rPr>
          <w:rFonts w:ascii="Arial" w:hAnsi="Arial" w:cs="Arial"/>
          <w:sz w:val="22"/>
          <w:szCs w:val="22"/>
        </w:rPr>
        <w:t>S</w:t>
      </w:r>
      <w:r w:rsidR="00D5652C">
        <w:rPr>
          <w:rFonts w:ascii="Arial" w:hAnsi="Arial" w:cs="Arial"/>
          <w:sz w:val="22"/>
          <w:szCs w:val="22"/>
        </w:rPr>
        <w:t>tudent Cases or nominee</w:t>
      </w:r>
      <w:r w:rsidRPr="00422E87">
        <w:rPr>
          <w:rFonts w:ascii="Arial" w:hAnsi="Arial" w:cs="Arial"/>
          <w:sz w:val="22"/>
          <w:szCs w:val="22"/>
        </w:rPr>
        <w:t>.</w:t>
      </w:r>
    </w:p>
    <w:p w14:paraId="389EB50D" w14:textId="7BFD4423" w:rsidR="002351D5" w:rsidRDefault="00082D40" w:rsidP="0071674B">
      <w:pPr>
        <w:pStyle w:val="Heading5"/>
        <w:ind w:left="916" w:hanging="556"/>
        <w:rPr>
          <w:b w:val="0"/>
        </w:rPr>
      </w:pPr>
      <w:r w:rsidRPr="002351D5">
        <w:rPr>
          <w:b w:val="0"/>
        </w:rPr>
        <w:t>2.2.2</w:t>
      </w:r>
      <w:r>
        <w:t xml:space="preserve"> </w:t>
      </w:r>
      <w:r w:rsidR="00422E87" w:rsidRPr="002351D5">
        <w:rPr>
          <w:b w:val="0"/>
        </w:rPr>
        <w:t>Where the Second Formal Written Warning is issued in the teaching week preceding or after the Easter vacation, no immediate action will be taken under the Procedure. In these circumstances the student must attend and continue to submit ass</w:t>
      </w:r>
      <w:r w:rsidRPr="002351D5">
        <w:rPr>
          <w:b w:val="0"/>
        </w:rPr>
        <w:t>essments and prepare for their</w:t>
      </w:r>
      <w:r w:rsidR="00422E87" w:rsidRPr="002351D5">
        <w:rPr>
          <w:b w:val="0"/>
        </w:rPr>
        <w:t xml:space="preserve"> forthcoming </w:t>
      </w:r>
      <w:r w:rsidR="002351D5">
        <w:rPr>
          <w:b w:val="0"/>
        </w:rPr>
        <w:t>May/June assessments/</w:t>
      </w:r>
      <w:r w:rsidR="00422E87" w:rsidRPr="002351D5">
        <w:rPr>
          <w:b w:val="0"/>
        </w:rPr>
        <w:t xml:space="preserve">examinations.  </w:t>
      </w:r>
    </w:p>
    <w:p w14:paraId="512DBA43" w14:textId="0816EE72" w:rsidR="00422E87" w:rsidRPr="002351D5" w:rsidRDefault="002351D5" w:rsidP="0071674B">
      <w:pPr>
        <w:pStyle w:val="Heading5"/>
        <w:ind w:left="916" w:hanging="556"/>
        <w:rPr>
          <w:b w:val="0"/>
        </w:rPr>
      </w:pPr>
      <w:r>
        <w:tab/>
      </w:r>
      <w:r w:rsidR="00422E87" w:rsidRPr="002351D5">
        <w:rPr>
          <w:b w:val="0"/>
        </w:rPr>
        <w:t xml:space="preserve">Dependent on the results of the </w:t>
      </w:r>
      <w:r>
        <w:rPr>
          <w:b w:val="0"/>
        </w:rPr>
        <w:t xml:space="preserve">May/June </w:t>
      </w:r>
      <w:r w:rsidR="00422E87" w:rsidRPr="002351D5">
        <w:rPr>
          <w:b w:val="0"/>
        </w:rPr>
        <w:t xml:space="preserve">assessments/examinations the </w:t>
      </w:r>
      <w:r w:rsidR="00082D40" w:rsidRPr="002351D5">
        <w:rPr>
          <w:b w:val="0"/>
        </w:rPr>
        <w:t>School</w:t>
      </w:r>
      <w:r w:rsidR="00422E87" w:rsidRPr="002351D5">
        <w:rPr>
          <w:b w:val="0"/>
        </w:rPr>
        <w:t xml:space="preserve">, </w:t>
      </w:r>
      <w:r w:rsidR="004A55D4" w:rsidRPr="002351D5">
        <w:rPr>
          <w:b w:val="0"/>
        </w:rPr>
        <w:t xml:space="preserve">in consultation with the Student Cases Team </w:t>
      </w:r>
      <w:r w:rsidR="00422E87" w:rsidRPr="002351D5">
        <w:rPr>
          <w:b w:val="0"/>
        </w:rPr>
        <w:t>will decide on one of the following:</w:t>
      </w:r>
    </w:p>
    <w:p w14:paraId="232B2F98" w14:textId="77777777" w:rsidR="00422E87" w:rsidRPr="00422E87" w:rsidRDefault="00422E87" w:rsidP="0071674B">
      <w:pPr>
        <w:ind w:left="360"/>
        <w:rPr>
          <w:rFonts w:ascii="Arial" w:hAnsi="Arial" w:cs="Arial"/>
          <w:sz w:val="22"/>
          <w:szCs w:val="22"/>
        </w:rPr>
      </w:pPr>
    </w:p>
    <w:p w14:paraId="2B5991A1" w14:textId="298387AE" w:rsidR="00422E87" w:rsidRPr="00422E87" w:rsidRDefault="00422E87" w:rsidP="0071674B">
      <w:pPr>
        <w:numPr>
          <w:ilvl w:val="0"/>
          <w:numId w:val="29"/>
        </w:numPr>
        <w:ind w:left="1080"/>
        <w:rPr>
          <w:rFonts w:ascii="Arial" w:hAnsi="Arial" w:cs="Arial"/>
          <w:sz w:val="22"/>
          <w:szCs w:val="22"/>
        </w:rPr>
      </w:pPr>
      <w:r w:rsidRPr="00422E87">
        <w:rPr>
          <w:rFonts w:ascii="Arial" w:hAnsi="Arial" w:cs="Arial"/>
          <w:sz w:val="22"/>
          <w:szCs w:val="22"/>
        </w:rPr>
        <w:t>where the student has passed sufficien</w:t>
      </w:r>
      <w:r w:rsidR="00082D40">
        <w:rPr>
          <w:rFonts w:ascii="Arial" w:hAnsi="Arial" w:cs="Arial"/>
          <w:sz w:val="22"/>
          <w:szCs w:val="22"/>
        </w:rPr>
        <w:t>tly to permit progression they</w:t>
      </w:r>
      <w:r w:rsidRPr="00422E87">
        <w:rPr>
          <w:rFonts w:ascii="Arial" w:hAnsi="Arial" w:cs="Arial"/>
          <w:sz w:val="22"/>
          <w:szCs w:val="22"/>
        </w:rPr>
        <w:t xml:space="preserve"> will be referred back to the </w:t>
      </w:r>
      <w:r w:rsidR="004A55D4">
        <w:rPr>
          <w:rFonts w:ascii="Arial" w:hAnsi="Arial" w:cs="Arial"/>
          <w:sz w:val="22"/>
          <w:szCs w:val="22"/>
        </w:rPr>
        <w:t xml:space="preserve">Student Cases Team </w:t>
      </w:r>
      <w:r w:rsidRPr="00422E87">
        <w:rPr>
          <w:rFonts w:ascii="Arial" w:hAnsi="Arial" w:cs="Arial"/>
          <w:sz w:val="22"/>
          <w:szCs w:val="22"/>
        </w:rPr>
        <w:t>under the Procedure.</w:t>
      </w:r>
    </w:p>
    <w:p w14:paraId="064FF409" w14:textId="77777777" w:rsidR="00422E87" w:rsidRPr="00422E87" w:rsidRDefault="00422E87" w:rsidP="0071674B">
      <w:pPr>
        <w:ind w:left="1860"/>
        <w:rPr>
          <w:rFonts w:ascii="Arial" w:hAnsi="Arial" w:cs="Arial"/>
          <w:sz w:val="22"/>
          <w:szCs w:val="22"/>
        </w:rPr>
      </w:pPr>
    </w:p>
    <w:p w14:paraId="6F790A4B" w14:textId="033D969B" w:rsidR="00422E87" w:rsidRPr="00422E87" w:rsidRDefault="00422E87" w:rsidP="0071674B">
      <w:pPr>
        <w:numPr>
          <w:ilvl w:val="0"/>
          <w:numId w:val="29"/>
        </w:numPr>
        <w:ind w:left="1080"/>
        <w:rPr>
          <w:rFonts w:ascii="Arial" w:hAnsi="Arial" w:cs="Arial"/>
          <w:sz w:val="22"/>
          <w:szCs w:val="22"/>
        </w:rPr>
      </w:pPr>
      <w:r w:rsidRPr="00422E87">
        <w:rPr>
          <w:rFonts w:ascii="Arial" w:hAnsi="Arial" w:cs="Arial"/>
          <w:sz w:val="22"/>
          <w:szCs w:val="22"/>
        </w:rPr>
        <w:t>where the student has not passed sufficient to progress but ha</w:t>
      </w:r>
      <w:r w:rsidR="00082D40">
        <w:rPr>
          <w:rFonts w:ascii="Arial" w:hAnsi="Arial" w:cs="Arial"/>
          <w:sz w:val="22"/>
          <w:szCs w:val="22"/>
        </w:rPr>
        <w:t xml:space="preserve">s made a serious attempt they </w:t>
      </w:r>
      <w:r w:rsidRPr="00422E87">
        <w:rPr>
          <w:rFonts w:ascii="Arial" w:hAnsi="Arial" w:cs="Arial"/>
          <w:sz w:val="22"/>
          <w:szCs w:val="22"/>
        </w:rPr>
        <w:t>will be permitted August resits (subject to the regulations).  If the student subsequently passes sufficien</w:t>
      </w:r>
      <w:r w:rsidR="00082D40">
        <w:rPr>
          <w:rFonts w:ascii="Arial" w:hAnsi="Arial" w:cs="Arial"/>
          <w:sz w:val="22"/>
          <w:szCs w:val="22"/>
        </w:rPr>
        <w:t>t to permit progression they</w:t>
      </w:r>
      <w:r w:rsidRPr="00422E87">
        <w:rPr>
          <w:rFonts w:ascii="Arial" w:hAnsi="Arial" w:cs="Arial"/>
          <w:sz w:val="22"/>
          <w:szCs w:val="22"/>
        </w:rPr>
        <w:t xml:space="preserve"> will be referred back to the </w:t>
      </w:r>
      <w:r w:rsidR="004A55D4">
        <w:rPr>
          <w:rFonts w:ascii="Arial" w:hAnsi="Arial" w:cs="Arial"/>
          <w:sz w:val="22"/>
          <w:szCs w:val="22"/>
        </w:rPr>
        <w:t xml:space="preserve">Student Cases Team </w:t>
      </w:r>
      <w:r w:rsidR="004A55D4" w:rsidRPr="00422E87">
        <w:rPr>
          <w:rFonts w:ascii="Arial" w:hAnsi="Arial" w:cs="Arial"/>
          <w:sz w:val="22"/>
          <w:szCs w:val="22"/>
        </w:rPr>
        <w:t>under the</w:t>
      </w:r>
      <w:r w:rsidR="004A55D4">
        <w:rPr>
          <w:rFonts w:ascii="Arial" w:hAnsi="Arial" w:cs="Arial"/>
          <w:sz w:val="22"/>
          <w:szCs w:val="22"/>
        </w:rPr>
        <w:t xml:space="preserve"> Procedure.</w:t>
      </w:r>
      <w:r w:rsidR="004A55D4" w:rsidRPr="00422E87">
        <w:rPr>
          <w:rFonts w:ascii="Arial" w:hAnsi="Arial" w:cs="Arial"/>
          <w:sz w:val="22"/>
          <w:szCs w:val="22"/>
        </w:rPr>
        <w:t xml:space="preserve"> </w:t>
      </w:r>
      <w:r w:rsidRPr="00422E87">
        <w:rPr>
          <w:rFonts w:ascii="Arial" w:hAnsi="Arial" w:cs="Arial"/>
          <w:sz w:val="22"/>
          <w:szCs w:val="22"/>
        </w:rPr>
        <w:t xml:space="preserve">If insufficient is passed to progress the Referred Students Procedure </w:t>
      </w:r>
      <w:r w:rsidR="00087401">
        <w:rPr>
          <w:rFonts w:ascii="Arial" w:hAnsi="Arial" w:cs="Arial"/>
          <w:sz w:val="22"/>
          <w:szCs w:val="22"/>
        </w:rPr>
        <w:t>(</w:t>
      </w:r>
      <w:hyperlink r:id="rId12" w:history="1">
        <w:r w:rsidR="00087401" w:rsidRPr="00B75460">
          <w:rPr>
            <w:rStyle w:val="Hyperlink"/>
            <w:rFonts w:ascii="Arial" w:hAnsi="Arial" w:cs="Arial"/>
            <w:sz w:val="22"/>
            <w:szCs w:val="22"/>
          </w:rPr>
          <w:t>http://www.leeds.ac.uk/secretariat/documents/referred_students_procedure.pdf</w:t>
        </w:r>
      </w:hyperlink>
      <w:r w:rsidR="00087401">
        <w:rPr>
          <w:rFonts w:ascii="Arial" w:hAnsi="Arial" w:cs="Arial"/>
          <w:sz w:val="22"/>
          <w:szCs w:val="22"/>
        </w:rPr>
        <w:t xml:space="preserve">) </w:t>
      </w:r>
      <w:r w:rsidRPr="00422E87">
        <w:rPr>
          <w:rFonts w:ascii="Arial" w:hAnsi="Arial" w:cs="Arial"/>
          <w:sz w:val="22"/>
          <w:szCs w:val="22"/>
        </w:rPr>
        <w:t>will be applied.</w:t>
      </w:r>
    </w:p>
    <w:p w14:paraId="578DE200" w14:textId="657CD397" w:rsidR="00422E87" w:rsidRPr="00422E87" w:rsidRDefault="00422E87" w:rsidP="0071674B">
      <w:pPr>
        <w:ind w:left="-360"/>
        <w:rPr>
          <w:rFonts w:ascii="Arial" w:hAnsi="Arial" w:cs="Arial"/>
          <w:sz w:val="22"/>
          <w:szCs w:val="22"/>
        </w:rPr>
      </w:pPr>
    </w:p>
    <w:p w14:paraId="17AF015B" w14:textId="484520E9" w:rsidR="00422E87" w:rsidRPr="00422E87" w:rsidRDefault="00422E87" w:rsidP="0071674B">
      <w:pPr>
        <w:ind w:left="1080"/>
        <w:rPr>
          <w:rFonts w:ascii="Arial" w:hAnsi="Arial" w:cs="Arial"/>
          <w:sz w:val="22"/>
          <w:szCs w:val="22"/>
        </w:rPr>
      </w:pPr>
      <w:r w:rsidRPr="00422E87">
        <w:rPr>
          <w:rFonts w:ascii="Arial" w:hAnsi="Arial" w:cs="Arial"/>
          <w:sz w:val="22"/>
          <w:szCs w:val="22"/>
        </w:rPr>
        <w:t>In addition, th</w:t>
      </w:r>
      <w:r w:rsidR="004A55D4">
        <w:rPr>
          <w:rFonts w:ascii="Arial" w:hAnsi="Arial" w:cs="Arial"/>
          <w:sz w:val="22"/>
          <w:szCs w:val="22"/>
        </w:rPr>
        <w:t>e School should supply the Student Cases Team</w:t>
      </w:r>
      <w:r w:rsidRPr="00422E87">
        <w:rPr>
          <w:rFonts w:ascii="Arial" w:hAnsi="Arial" w:cs="Arial"/>
          <w:sz w:val="22"/>
          <w:szCs w:val="22"/>
        </w:rPr>
        <w:t xml:space="preserve"> with details of the student’s attendance record, submission of assessments and examinations since the issuing of the Second Formal Warning.</w:t>
      </w:r>
    </w:p>
    <w:p w14:paraId="21D3B788" w14:textId="77777777" w:rsidR="00422E87" w:rsidRPr="00422E87" w:rsidRDefault="00422E87" w:rsidP="002351D5">
      <w:pPr>
        <w:ind w:left="1080"/>
        <w:rPr>
          <w:rFonts w:ascii="Arial" w:hAnsi="Arial" w:cs="Arial"/>
          <w:sz w:val="22"/>
          <w:szCs w:val="22"/>
        </w:rPr>
      </w:pPr>
    </w:p>
    <w:p w14:paraId="68691506" w14:textId="77777777" w:rsidR="00422E87" w:rsidRPr="00422E87" w:rsidRDefault="00422E87" w:rsidP="002D233E">
      <w:pPr>
        <w:numPr>
          <w:ilvl w:val="1"/>
          <w:numId w:val="21"/>
        </w:numPr>
        <w:rPr>
          <w:rFonts w:ascii="Arial" w:hAnsi="Arial" w:cs="Arial"/>
          <w:sz w:val="22"/>
          <w:szCs w:val="22"/>
          <w:u w:val="single"/>
        </w:rPr>
      </w:pPr>
      <w:r w:rsidRPr="00422E87">
        <w:rPr>
          <w:rFonts w:ascii="Arial" w:hAnsi="Arial" w:cs="Arial"/>
          <w:sz w:val="22"/>
          <w:szCs w:val="22"/>
          <w:u w:val="single"/>
        </w:rPr>
        <w:t xml:space="preserve">Interview with the Head of </w:t>
      </w:r>
      <w:r w:rsidR="00E013AE">
        <w:rPr>
          <w:rFonts w:ascii="Arial" w:hAnsi="Arial" w:cs="Arial"/>
          <w:sz w:val="22"/>
          <w:szCs w:val="22"/>
          <w:u w:val="single"/>
        </w:rPr>
        <w:t>S</w:t>
      </w:r>
      <w:r w:rsidR="00D5652C">
        <w:rPr>
          <w:rFonts w:ascii="Arial" w:hAnsi="Arial" w:cs="Arial"/>
          <w:sz w:val="22"/>
          <w:szCs w:val="22"/>
          <w:u w:val="single"/>
        </w:rPr>
        <w:t>tudent Cases (or nominee)</w:t>
      </w:r>
    </w:p>
    <w:p w14:paraId="736A7CF0" w14:textId="3F852536" w:rsidR="00422E87" w:rsidRPr="00422E87" w:rsidRDefault="00422E87" w:rsidP="00082D40">
      <w:pPr>
        <w:rPr>
          <w:rFonts w:ascii="Arial" w:hAnsi="Arial" w:cs="Arial"/>
          <w:sz w:val="22"/>
          <w:szCs w:val="22"/>
          <w:u w:val="single"/>
        </w:rPr>
      </w:pPr>
    </w:p>
    <w:p w14:paraId="13B451E1" w14:textId="77777777" w:rsidR="00422E87" w:rsidRPr="00422E87" w:rsidRDefault="00422E87" w:rsidP="002D233E">
      <w:pPr>
        <w:ind w:left="720"/>
        <w:rPr>
          <w:rFonts w:ascii="Arial" w:hAnsi="Arial" w:cs="Arial"/>
          <w:sz w:val="22"/>
          <w:szCs w:val="22"/>
        </w:rPr>
      </w:pPr>
      <w:r w:rsidRPr="00422E87">
        <w:rPr>
          <w:rFonts w:ascii="Arial" w:hAnsi="Arial" w:cs="Arial"/>
          <w:sz w:val="22"/>
          <w:szCs w:val="22"/>
        </w:rPr>
        <w:t xml:space="preserve">The student will be required to bring to the interview a written statement addressing any reasons for his/her deficiencies in work/attendance/progress.  </w:t>
      </w:r>
    </w:p>
    <w:p w14:paraId="7EC2F70D" w14:textId="77777777" w:rsidR="00422E87" w:rsidRPr="00422E87" w:rsidRDefault="00422E87" w:rsidP="002D233E">
      <w:pPr>
        <w:ind w:left="720"/>
        <w:rPr>
          <w:rFonts w:ascii="Arial" w:hAnsi="Arial" w:cs="Arial"/>
          <w:sz w:val="22"/>
          <w:szCs w:val="22"/>
        </w:rPr>
      </w:pPr>
    </w:p>
    <w:p w14:paraId="77831C6D" w14:textId="0E35E09A" w:rsidR="00422E87" w:rsidRDefault="00422E87" w:rsidP="002D233E">
      <w:pPr>
        <w:ind w:left="720"/>
        <w:rPr>
          <w:rFonts w:ascii="Arial" w:hAnsi="Arial" w:cs="Arial"/>
          <w:sz w:val="22"/>
          <w:szCs w:val="22"/>
        </w:rPr>
      </w:pPr>
      <w:r w:rsidRPr="00422E87">
        <w:rPr>
          <w:rFonts w:ascii="Arial" w:hAnsi="Arial" w:cs="Arial"/>
          <w:sz w:val="22"/>
          <w:szCs w:val="22"/>
        </w:rPr>
        <w:t>A decision as to whether to reinforce the Second Formal Warni</w:t>
      </w:r>
      <w:r w:rsidR="00697F4B">
        <w:rPr>
          <w:rFonts w:ascii="Arial" w:hAnsi="Arial" w:cs="Arial"/>
          <w:sz w:val="22"/>
          <w:szCs w:val="22"/>
        </w:rPr>
        <w:t>ng or to submit the case to the</w:t>
      </w:r>
      <w:r w:rsidR="00CE2286">
        <w:rPr>
          <w:rFonts w:ascii="Arial" w:hAnsi="Arial" w:cs="Arial"/>
          <w:sz w:val="22"/>
          <w:szCs w:val="22"/>
        </w:rPr>
        <w:t xml:space="preserve"> Deputy </w:t>
      </w:r>
      <w:r w:rsidRPr="00422E87">
        <w:rPr>
          <w:rFonts w:ascii="Arial" w:hAnsi="Arial" w:cs="Arial"/>
          <w:sz w:val="22"/>
          <w:szCs w:val="22"/>
        </w:rPr>
        <w:t>Vice-Chancellor</w:t>
      </w:r>
      <w:r w:rsidR="00CE2286">
        <w:rPr>
          <w:rFonts w:ascii="Arial" w:hAnsi="Arial" w:cs="Arial"/>
          <w:sz w:val="22"/>
          <w:szCs w:val="22"/>
        </w:rPr>
        <w:t>: Student Education</w:t>
      </w:r>
      <w:r w:rsidRPr="00422E87">
        <w:rPr>
          <w:rFonts w:ascii="Arial" w:hAnsi="Arial" w:cs="Arial"/>
          <w:sz w:val="22"/>
          <w:szCs w:val="22"/>
        </w:rPr>
        <w:t xml:space="preserve"> with a recommendation that the student be excluded will be taken on the basis of the i</w:t>
      </w:r>
      <w:r w:rsidR="00082D40">
        <w:rPr>
          <w:rFonts w:ascii="Arial" w:hAnsi="Arial" w:cs="Arial"/>
          <w:sz w:val="22"/>
          <w:szCs w:val="22"/>
        </w:rPr>
        <w:t xml:space="preserve">nterview, the written statement, </w:t>
      </w:r>
      <w:r w:rsidRPr="00422E87">
        <w:rPr>
          <w:rFonts w:ascii="Arial" w:hAnsi="Arial" w:cs="Arial"/>
          <w:sz w:val="22"/>
          <w:szCs w:val="22"/>
        </w:rPr>
        <w:t>and if necessary further consultations with the School.  Any decision, however, will not be restricted to these two possibilities and will be informed by the individual circumstances.</w:t>
      </w:r>
    </w:p>
    <w:p w14:paraId="43F62938" w14:textId="0D8F3E2C" w:rsidR="00721B43" w:rsidRDefault="00721B43" w:rsidP="002D233E">
      <w:pPr>
        <w:ind w:left="720"/>
        <w:rPr>
          <w:rFonts w:ascii="Arial" w:hAnsi="Arial" w:cs="Arial"/>
          <w:sz w:val="22"/>
          <w:szCs w:val="22"/>
        </w:rPr>
      </w:pPr>
    </w:p>
    <w:p w14:paraId="3700A067" w14:textId="36FEA270" w:rsidR="00721B43" w:rsidRPr="00422E87" w:rsidRDefault="00721B43" w:rsidP="00721B43">
      <w:pPr>
        <w:ind w:left="720"/>
        <w:rPr>
          <w:rFonts w:ascii="Arial" w:hAnsi="Arial" w:cs="Arial"/>
          <w:sz w:val="22"/>
          <w:szCs w:val="22"/>
        </w:rPr>
      </w:pPr>
      <w:r>
        <w:rPr>
          <w:rFonts w:ascii="Arial" w:hAnsi="Arial" w:cs="Arial"/>
          <w:sz w:val="22"/>
          <w:szCs w:val="22"/>
        </w:rPr>
        <w:t>If a student does not attend the interview or provide a valid reason, supported by evidence for non-attendance, a recommendation will be made for exclusion.</w:t>
      </w:r>
    </w:p>
    <w:p w14:paraId="1AD7EA38" w14:textId="59822AB4" w:rsidR="00422E87" w:rsidRPr="00422E87" w:rsidRDefault="00422E87" w:rsidP="00721B43">
      <w:pPr>
        <w:rPr>
          <w:rFonts w:ascii="Arial" w:hAnsi="Arial" w:cs="Arial"/>
          <w:sz w:val="22"/>
          <w:szCs w:val="22"/>
        </w:rPr>
      </w:pPr>
    </w:p>
    <w:p w14:paraId="6AF7B1DC" w14:textId="6A83BA06" w:rsidR="00422E87" w:rsidRPr="0071674B" w:rsidRDefault="0071674B" w:rsidP="0071674B">
      <w:pPr>
        <w:pStyle w:val="ListParagraph"/>
        <w:numPr>
          <w:ilvl w:val="2"/>
          <w:numId w:val="30"/>
        </w:numPr>
        <w:ind w:left="993" w:hanging="709"/>
        <w:rPr>
          <w:sz w:val="22"/>
          <w:szCs w:val="22"/>
        </w:rPr>
      </w:pPr>
      <w:r>
        <w:rPr>
          <w:sz w:val="22"/>
          <w:szCs w:val="22"/>
        </w:rPr>
        <w:t xml:space="preserve">Recommendation for </w:t>
      </w:r>
      <w:r w:rsidR="00422E87" w:rsidRPr="0071674B">
        <w:rPr>
          <w:sz w:val="22"/>
          <w:szCs w:val="22"/>
        </w:rPr>
        <w:t>Exclusion</w:t>
      </w:r>
    </w:p>
    <w:p w14:paraId="0519230D" w14:textId="77777777" w:rsidR="00422E87" w:rsidRPr="00422E87" w:rsidRDefault="00422E87" w:rsidP="002D233E">
      <w:pPr>
        <w:ind w:left="1080"/>
        <w:rPr>
          <w:rFonts w:ascii="Arial" w:hAnsi="Arial" w:cs="Arial"/>
          <w:sz w:val="22"/>
          <w:szCs w:val="22"/>
        </w:rPr>
      </w:pPr>
    </w:p>
    <w:p w14:paraId="72DDDDD5" w14:textId="1A74A341" w:rsidR="00422E87" w:rsidRDefault="00422E87" w:rsidP="002D233E">
      <w:pPr>
        <w:ind w:left="1080"/>
        <w:rPr>
          <w:rFonts w:ascii="Arial" w:hAnsi="Arial" w:cs="Arial"/>
          <w:sz w:val="22"/>
          <w:szCs w:val="22"/>
        </w:rPr>
      </w:pPr>
      <w:r w:rsidRPr="00422E87">
        <w:rPr>
          <w:rFonts w:ascii="Arial" w:hAnsi="Arial" w:cs="Arial"/>
          <w:sz w:val="22"/>
          <w:szCs w:val="22"/>
        </w:rPr>
        <w:t xml:space="preserve">Where it has been decided that the case will be submitted to the </w:t>
      </w:r>
      <w:r w:rsidR="00CE2286">
        <w:rPr>
          <w:rFonts w:ascii="Arial" w:hAnsi="Arial" w:cs="Arial"/>
          <w:sz w:val="22"/>
          <w:szCs w:val="22"/>
        </w:rPr>
        <w:t xml:space="preserve">Deputy </w:t>
      </w:r>
      <w:r w:rsidRPr="00422E87">
        <w:rPr>
          <w:rFonts w:ascii="Arial" w:hAnsi="Arial" w:cs="Arial"/>
          <w:sz w:val="22"/>
          <w:szCs w:val="22"/>
        </w:rPr>
        <w:t xml:space="preserve">Vice-Chancellor the student will </w:t>
      </w:r>
      <w:r w:rsidR="00C209D8">
        <w:rPr>
          <w:rFonts w:ascii="Arial" w:hAnsi="Arial" w:cs="Arial"/>
          <w:sz w:val="22"/>
          <w:szCs w:val="22"/>
        </w:rPr>
        <w:t xml:space="preserve">be </w:t>
      </w:r>
      <w:r w:rsidR="0071674B">
        <w:rPr>
          <w:rFonts w:ascii="Arial" w:hAnsi="Arial" w:cs="Arial"/>
          <w:sz w:val="22"/>
          <w:szCs w:val="22"/>
        </w:rPr>
        <w:t>given 72</w:t>
      </w:r>
      <w:r w:rsidRPr="00422E87">
        <w:rPr>
          <w:rFonts w:ascii="Arial" w:hAnsi="Arial" w:cs="Arial"/>
          <w:sz w:val="22"/>
          <w:szCs w:val="22"/>
        </w:rPr>
        <w:t xml:space="preserve"> hours to submit to the Office a plea against this recommendation.  Pending the decision of the </w:t>
      </w:r>
      <w:r w:rsidR="00CE2286">
        <w:rPr>
          <w:rFonts w:ascii="Arial" w:hAnsi="Arial" w:cs="Arial"/>
          <w:sz w:val="22"/>
          <w:szCs w:val="22"/>
        </w:rPr>
        <w:t xml:space="preserve">Deputy </w:t>
      </w:r>
      <w:r w:rsidRPr="00422E87">
        <w:rPr>
          <w:rFonts w:ascii="Arial" w:hAnsi="Arial" w:cs="Arial"/>
          <w:sz w:val="22"/>
          <w:szCs w:val="22"/>
        </w:rPr>
        <w:t>Vice-</w:t>
      </w:r>
      <w:r w:rsidRPr="00422E87">
        <w:rPr>
          <w:rFonts w:ascii="Arial" w:hAnsi="Arial" w:cs="Arial"/>
          <w:sz w:val="22"/>
          <w:szCs w:val="22"/>
        </w:rPr>
        <w:lastRenderedPageBreak/>
        <w:t>Chancellor, the student must continue to attend tuition, submit assessments and take the corresponding examinations.</w:t>
      </w:r>
    </w:p>
    <w:p w14:paraId="42B3DFCE" w14:textId="27AE0ADC" w:rsidR="00422E87" w:rsidRPr="00422E87" w:rsidRDefault="00422E87" w:rsidP="00721B43">
      <w:pPr>
        <w:rPr>
          <w:rFonts w:ascii="Arial" w:hAnsi="Arial" w:cs="Arial"/>
          <w:sz w:val="22"/>
          <w:szCs w:val="22"/>
        </w:rPr>
      </w:pPr>
    </w:p>
    <w:p w14:paraId="237034A8" w14:textId="77777777" w:rsidR="00142A30" w:rsidRDefault="00422E87" w:rsidP="00CE2286">
      <w:pPr>
        <w:ind w:left="1080"/>
        <w:rPr>
          <w:rFonts w:ascii="Arial" w:hAnsi="Arial" w:cs="Arial"/>
          <w:sz w:val="22"/>
          <w:szCs w:val="22"/>
        </w:rPr>
      </w:pPr>
      <w:r w:rsidRPr="00422E87">
        <w:rPr>
          <w:rFonts w:ascii="Arial" w:hAnsi="Arial" w:cs="Arial"/>
          <w:sz w:val="22"/>
          <w:szCs w:val="22"/>
        </w:rPr>
        <w:t xml:space="preserve">The </w:t>
      </w:r>
      <w:r w:rsidR="00CE2286">
        <w:rPr>
          <w:rFonts w:ascii="Arial" w:hAnsi="Arial" w:cs="Arial"/>
          <w:sz w:val="22"/>
          <w:szCs w:val="22"/>
        </w:rPr>
        <w:t xml:space="preserve">Deputy </w:t>
      </w:r>
      <w:r w:rsidRPr="00422E87">
        <w:rPr>
          <w:rFonts w:ascii="Arial" w:hAnsi="Arial" w:cs="Arial"/>
          <w:sz w:val="22"/>
          <w:szCs w:val="22"/>
        </w:rPr>
        <w:t>Vice-Chancellor’s decision is final.</w:t>
      </w:r>
    </w:p>
    <w:p w14:paraId="54D4C9DF" w14:textId="77777777" w:rsidR="00142A30" w:rsidRPr="00422E87" w:rsidRDefault="00142A30" w:rsidP="002D233E">
      <w:pPr>
        <w:ind w:left="720"/>
        <w:rPr>
          <w:rFonts w:ascii="Arial" w:hAnsi="Arial" w:cs="Arial"/>
          <w:sz w:val="22"/>
          <w:szCs w:val="22"/>
        </w:rPr>
      </w:pPr>
    </w:p>
    <w:p w14:paraId="657B3C2A" w14:textId="386AADE6" w:rsidR="00422E87" w:rsidRPr="00CE66A3" w:rsidRDefault="00422E87" w:rsidP="00CE66A3">
      <w:pPr>
        <w:pStyle w:val="ListParagraph"/>
        <w:numPr>
          <w:ilvl w:val="2"/>
          <w:numId w:val="30"/>
        </w:numPr>
        <w:ind w:left="993" w:hanging="709"/>
        <w:rPr>
          <w:sz w:val="22"/>
          <w:szCs w:val="22"/>
        </w:rPr>
      </w:pPr>
      <w:r w:rsidRPr="00CE66A3">
        <w:rPr>
          <w:sz w:val="22"/>
          <w:szCs w:val="22"/>
        </w:rPr>
        <w:t>Reinforce Second Formal Warning</w:t>
      </w:r>
    </w:p>
    <w:p w14:paraId="4E1C9370" w14:textId="77777777" w:rsidR="00422E87" w:rsidRPr="00422E87" w:rsidRDefault="00422E87" w:rsidP="002D233E">
      <w:pPr>
        <w:ind w:left="1080"/>
        <w:rPr>
          <w:rFonts w:ascii="Arial" w:hAnsi="Arial" w:cs="Arial"/>
          <w:sz w:val="22"/>
          <w:szCs w:val="22"/>
        </w:rPr>
      </w:pPr>
    </w:p>
    <w:p w14:paraId="2FFCA803" w14:textId="77777777" w:rsidR="00917A20" w:rsidRDefault="00422E87" w:rsidP="00917A20">
      <w:pPr>
        <w:ind w:left="1080"/>
        <w:rPr>
          <w:rFonts w:ascii="Arial" w:hAnsi="Arial" w:cs="Arial"/>
          <w:sz w:val="22"/>
          <w:szCs w:val="22"/>
        </w:rPr>
      </w:pPr>
      <w:r w:rsidRPr="00422E87">
        <w:rPr>
          <w:rFonts w:ascii="Arial" w:hAnsi="Arial" w:cs="Arial"/>
          <w:sz w:val="22"/>
          <w:szCs w:val="22"/>
        </w:rPr>
        <w:t>The student will be issued with a Final Warning that if his/her work/attendance/</w:t>
      </w:r>
      <w:r w:rsidR="00CE66A3">
        <w:rPr>
          <w:rFonts w:ascii="Arial" w:hAnsi="Arial" w:cs="Arial"/>
          <w:sz w:val="22"/>
          <w:szCs w:val="22"/>
        </w:rPr>
        <w:t>engagement</w:t>
      </w:r>
      <w:r w:rsidRPr="00422E87">
        <w:rPr>
          <w:rFonts w:ascii="Arial" w:hAnsi="Arial" w:cs="Arial"/>
          <w:sz w:val="22"/>
          <w:szCs w:val="22"/>
        </w:rPr>
        <w:t xml:space="preserve"> does not reach a satisfactory standard then the case will proceed to the </w:t>
      </w:r>
      <w:r w:rsidR="00CE2286">
        <w:rPr>
          <w:rFonts w:ascii="Arial" w:hAnsi="Arial" w:cs="Arial"/>
          <w:sz w:val="22"/>
          <w:szCs w:val="22"/>
        </w:rPr>
        <w:t xml:space="preserve">Deputy </w:t>
      </w:r>
      <w:r w:rsidRPr="00422E87">
        <w:rPr>
          <w:rFonts w:ascii="Arial" w:hAnsi="Arial" w:cs="Arial"/>
          <w:sz w:val="22"/>
          <w:szCs w:val="22"/>
        </w:rPr>
        <w:t>Vice-Chancellor with a recommendation for exclusion.</w:t>
      </w:r>
    </w:p>
    <w:p w14:paraId="231A4608" w14:textId="77777777" w:rsidR="00917A20" w:rsidRDefault="00917A20" w:rsidP="00917A20">
      <w:pPr>
        <w:rPr>
          <w:rFonts w:ascii="Arial" w:hAnsi="Arial" w:cs="Arial"/>
          <w:sz w:val="22"/>
          <w:szCs w:val="22"/>
        </w:rPr>
      </w:pPr>
    </w:p>
    <w:p w14:paraId="295DFB11" w14:textId="0E9BD81A" w:rsidR="00422E87" w:rsidRPr="00917A20" w:rsidRDefault="00917A20" w:rsidP="00917A20">
      <w:pPr>
        <w:ind w:left="709" w:hanging="425"/>
        <w:rPr>
          <w:rFonts w:ascii="Arial" w:hAnsi="Arial" w:cs="Arial"/>
          <w:sz w:val="22"/>
          <w:szCs w:val="22"/>
        </w:rPr>
      </w:pPr>
      <w:r w:rsidRPr="00917A20">
        <w:rPr>
          <w:rFonts w:ascii="Arial" w:hAnsi="Arial" w:cs="Arial"/>
          <w:sz w:val="22"/>
          <w:szCs w:val="22"/>
        </w:rPr>
        <w:t xml:space="preserve">2.4   </w:t>
      </w:r>
      <w:r w:rsidR="00422E87" w:rsidRPr="00917A20">
        <w:rPr>
          <w:rFonts w:ascii="Arial" w:hAnsi="Arial" w:cs="Arial"/>
          <w:sz w:val="22"/>
          <w:szCs w:val="22"/>
        </w:rPr>
        <w:t>Study Abroad</w:t>
      </w:r>
    </w:p>
    <w:p w14:paraId="6D1BF200" w14:textId="77777777" w:rsidR="00422E87" w:rsidRPr="00422E87" w:rsidRDefault="00422E87" w:rsidP="002D233E">
      <w:pPr>
        <w:ind w:left="360"/>
        <w:rPr>
          <w:rFonts w:ascii="Arial" w:hAnsi="Arial" w:cs="Arial"/>
          <w:sz w:val="22"/>
          <w:szCs w:val="22"/>
          <w:u w:val="single"/>
        </w:rPr>
      </w:pPr>
    </w:p>
    <w:p w14:paraId="3508AD47" w14:textId="77777777" w:rsidR="00CE063F" w:rsidRDefault="00422E87" w:rsidP="00CE063F">
      <w:pPr>
        <w:pStyle w:val="BodyTextIndent2"/>
        <w:ind w:left="720" w:firstLine="0"/>
        <w:rPr>
          <w:rFonts w:ascii="Arial" w:hAnsi="Arial" w:cs="Arial"/>
        </w:rPr>
      </w:pPr>
      <w:r w:rsidRPr="00422E87">
        <w:rPr>
          <w:rFonts w:ascii="Arial" w:hAnsi="Arial" w:cs="Arial"/>
        </w:rPr>
        <w:t xml:space="preserve">In the case of a student studying abroad whose work, attendance or progress is unsatisfactory resulting in reports being made by the host institution to the University, the Head of the Parent School will issue the warnings as appropriate.  Where it is decided that the student is required to return to Leeds for interview by the Head </w:t>
      </w:r>
      <w:r w:rsidR="00CE2286">
        <w:rPr>
          <w:rFonts w:ascii="Arial" w:hAnsi="Arial" w:cs="Arial"/>
        </w:rPr>
        <w:t>of Student Cases</w:t>
      </w:r>
      <w:r w:rsidRPr="00422E87">
        <w:rPr>
          <w:rFonts w:ascii="Arial" w:hAnsi="Arial" w:cs="Arial"/>
        </w:rPr>
        <w:t>, he/she will do so at his/her own expense.  In these circumstances the student’s studies will be suspended immediately.</w:t>
      </w:r>
    </w:p>
    <w:p w14:paraId="6BBE7A5D" w14:textId="77777777" w:rsidR="00CE063F" w:rsidRDefault="00CE063F" w:rsidP="00CE063F">
      <w:pPr>
        <w:pStyle w:val="BodyTextIndent2"/>
        <w:ind w:left="0" w:firstLine="284"/>
        <w:rPr>
          <w:rFonts w:ascii="Arial" w:hAnsi="Arial" w:cs="Arial"/>
        </w:rPr>
      </w:pPr>
    </w:p>
    <w:p w14:paraId="187A5FA8" w14:textId="50108A88" w:rsidR="00422E87" w:rsidRPr="00953F03" w:rsidRDefault="00953F03" w:rsidP="00CE063F">
      <w:pPr>
        <w:pStyle w:val="BodyTextIndent2"/>
        <w:ind w:left="142" w:firstLine="142"/>
        <w:rPr>
          <w:rFonts w:ascii="Arial" w:hAnsi="Arial" w:cs="Arial"/>
        </w:rPr>
      </w:pPr>
      <w:r>
        <w:rPr>
          <w:rFonts w:ascii="Arial" w:hAnsi="Arial" w:cs="Arial"/>
        </w:rPr>
        <w:t xml:space="preserve">2.5   </w:t>
      </w:r>
      <w:r w:rsidR="00422E87" w:rsidRPr="00953F03">
        <w:rPr>
          <w:rFonts w:ascii="Arial" w:hAnsi="Arial" w:cs="Arial"/>
        </w:rPr>
        <w:t>Internal Repeat</w:t>
      </w:r>
    </w:p>
    <w:p w14:paraId="4EE0AFF0" w14:textId="77777777" w:rsidR="00422E87" w:rsidRPr="00953F03" w:rsidRDefault="00422E87" w:rsidP="002D233E">
      <w:pPr>
        <w:pStyle w:val="BodyTextIndent2"/>
        <w:rPr>
          <w:rFonts w:ascii="Arial" w:hAnsi="Arial" w:cs="Arial"/>
          <w:u w:val="single"/>
        </w:rPr>
      </w:pPr>
    </w:p>
    <w:p w14:paraId="46415B56" w14:textId="77777777" w:rsidR="00CC5AA8" w:rsidRPr="00953F03" w:rsidRDefault="00422E87" w:rsidP="00CC5AA8">
      <w:pPr>
        <w:pStyle w:val="BodyTextIndent2"/>
        <w:ind w:left="720" w:firstLine="0"/>
        <w:rPr>
          <w:rFonts w:ascii="Arial" w:hAnsi="Arial" w:cs="Arial"/>
        </w:rPr>
      </w:pPr>
      <w:r w:rsidRPr="00953F03">
        <w:rPr>
          <w:rFonts w:ascii="Arial" w:hAnsi="Arial" w:cs="Arial"/>
        </w:rPr>
        <w:t>Students who have been permitted an internal repeat year following examination failure are subject t</w:t>
      </w:r>
      <w:r w:rsidR="00721B43" w:rsidRPr="00953F03">
        <w:rPr>
          <w:rFonts w:ascii="Arial" w:hAnsi="Arial" w:cs="Arial"/>
        </w:rPr>
        <w:t>o the normal academic expectations</w:t>
      </w:r>
      <w:r w:rsidRPr="00953F03">
        <w:rPr>
          <w:rFonts w:ascii="Arial" w:hAnsi="Arial" w:cs="Arial"/>
        </w:rPr>
        <w:t xml:space="preserve"> and must fulfil the normal attendance </w:t>
      </w:r>
      <w:r w:rsidR="00CE66A3" w:rsidRPr="00953F03">
        <w:rPr>
          <w:rFonts w:ascii="Arial" w:hAnsi="Arial" w:cs="Arial"/>
        </w:rPr>
        <w:t xml:space="preserve">and engagement </w:t>
      </w:r>
      <w:r w:rsidRPr="00953F03">
        <w:rPr>
          <w:rFonts w:ascii="Arial" w:hAnsi="Arial" w:cs="Arial"/>
        </w:rPr>
        <w:t>requirements.  Such students should therefore understand that they are subject to this Procedure.</w:t>
      </w:r>
    </w:p>
    <w:p w14:paraId="574F65DC" w14:textId="77777777" w:rsidR="00CC5AA8" w:rsidRPr="00953F03" w:rsidRDefault="00CC5AA8" w:rsidP="00CC5AA8">
      <w:pPr>
        <w:pStyle w:val="BodyTextIndent2"/>
        <w:ind w:left="0" w:firstLine="0"/>
        <w:rPr>
          <w:rFonts w:ascii="Arial" w:hAnsi="Arial" w:cs="Arial"/>
        </w:rPr>
      </w:pPr>
    </w:p>
    <w:p w14:paraId="47ED6A9E" w14:textId="4A111509" w:rsidR="00422E87" w:rsidRPr="00953F03" w:rsidRDefault="00CE063F" w:rsidP="00CC5AA8">
      <w:pPr>
        <w:pStyle w:val="BodyTextIndent2"/>
        <w:ind w:left="0" w:firstLine="0"/>
        <w:rPr>
          <w:rFonts w:ascii="Arial" w:hAnsi="Arial" w:cs="Arial"/>
        </w:rPr>
      </w:pPr>
      <w:r w:rsidRPr="00953F03">
        <w:rPr>
          <w:rFonts w:ascii="Arial" w:hAnsi="Arial" w:cs="Arial"/>
        </w:rPr>
        <w:t xml:space="preserve">    2.6 </w:t>
      </w:r>
      <w:r w:rsidR="00953F03">
        <w:rPr>
          <w:rFonts w:ascii="Arial" w:hAnsi="Arial" w:cs="Arial"/>
        </w:rPr>
        <w:t xml:space="preserve">  </w:t>
      </w:r>
      <w:r w:rsidR="00422E87" w:rsidRPr="00953F03">
        <w:rPr>
          <w:rFonts w:ascii="Arial" w:hAnsi="Arial" w:cs="Arial"/>
        </w:rPr>
        <w:t>Carry-forward of Warnings</w:t>
      </w:r>
    </w:p>
    <w:p w14:paraId="765EDD4C" w14:textId="77777777" w:rsidR="00422E87" w:rsidRPr="00953F03" w:rsidRDefault="00422E87" w:rsidP="00B96383">
      <w:pPr>
        <w:ind w:left="360" w:hanging="76"/>
        <w:rPr>
          <w:rFonts w:ascii="Arial" w:hAnsi="Arial" w:cs="Arial"/>
          <w:sz w:val="22"/>
          <w:szCs w:val="22"/>
        </w:rPr>
      </w:pPr>
    </w:p>
    <w:p w14:paraId="1B4687E8" w14:textId="77777777" w:rsidR="00CC5AA8" w:rsidRPr="00953F03" w:rsidRDefault="00422E87" w:rsidP="00CC5AA8">
      <w:pPr>
        <w:ind w:left="720"/>
        <w:rPr>
          <w:rFonts w:ascii="Arial" w:hAnsi="Arial" w:cs="Arial"/>
          <w:sz w:val="22"/>
          <w:szCs w:val="22"/>
        </w:rPr>
      </w:pPr>
      <w:r w:rsidRPr="00953F03">
        <w:rPr>
          <w:rFonts w:ascii="Arial" w:hAnsi="Arial" w:cs="Arial"/>
          <w:sz w:val="22"/>
          <w:szCs w:val="22"/>
        </w:rPr>
        <w:t>All Warnings remain on the s</w:t>
      </w:r>
      <w:r w:rsidR="00B96383" w:rsidRPr="00953F03">
        <w:rPr>
          <w:rFonts w:ascii="Arial" w:hAnsi="Arial" w:cs="Arial"/>
          <w:sz w:val="22"/>
          <w:szCs w:val="22"/>
        </w:rPr>
        <w:t xml:space="preserve">tudent’s file throughout their candidature </w:t>
      </w:r>
      <w:r w:rsidRPr="00953F03">
        <w:rPr>
          <w:rFonts w:ascii="Arial" w:hAnsi="Arial" w:cs="Arial"/>
          <w:sz w:val="22"/>
          <w:szCs w:val="22"/>
        </w:rPr>
        <w:t>and are carried forward from year to year and in the event of a transfer between programmes.</w:t>
      </w:r>
    </w:p>
    <w:p w14:paraId="0BAAFE7A" w14:textId="77777777" w:rsidR="00CC5AA8" w:rsidRPr="00953F03" w:rsidRDefault="00CC5AA8" w:rsidP="00CC5AA8">
      <w:pPr>
        <w:rPr>
          <w:rFonts w:ascii="Arial" w:hAnsi="Arial" w:cs="Arial"/>
          <w:sz w:val="22"/>
          <w:szCs w:val="22"/>
        </w:rPr>
      </w:pPr>
    </w:p>
    <w:p w14:paraId="776403A4" w14:textId="48200F06" w:rsidR="00422E87" w:rsidRPr="00953F03" w:rsidRDefault="00CE063F" w:rsidP="00CC5AA8">
      <w:pPr>
        <w:rPr>
          <w:rFonts w:ascii="Arial" w:hAnsi="Arial" w:cs="Arial"/>
          <w:sz w:val="22"/>
          <w:szCs w:val="22"/>
        </w:rPr>
      </w:pPr>
      <w:r w:rsidRPr="00953F03">
        <w:rPr>
          <w:rFonts w:ascii="Arial" w:hAnsi="Arial" w:cs="Arial"/>
          <w:sz w:val="22"/>
          <w:szCs w:val="22"/>
        </w:rPr>
        <w:t xml:space="preserve">   </w:t>
      </w:r>
      <w:r w:rsidR="00181F63">
        <w:rPr>
          <w:rFonts w:ascii="Arial" w:hAnsi="Arial" w:cs="Arial"/>
          <w:sz w:val="22"/>
          <w:szCs w:val="22"/>
        </w:rPr>
        <w:t xml:space="preserve"> </w:t>
      </w:r>
      <w:r w:rsidRPr="00953F03">
        <w:rPr>
          <w:rFonts w:ascii="Arial" w:hAnsi="Arial" w:cs="Arial"/>
          <w:sz w:val="22"/>
          <w:szCs w:val="22"/>
        </w:rPr>
        <w:t>2.7</w:t>
      </w:r>
      <w:r w:rsidR="00721B43" w:rsidRPr="00953F03">
        <w:rPr>
          <w:rFonts w:ascii="Arial" w:hAnsi="Arial" w:cs="Arial"/>
          <w:sz w:val="22"/>
          <w:szCs w:val="22"/>
        </w:rPr>
        <w:t xml:space="preserve"> </w:t>
      </w:r>
      <w:r w:rsidR="00181F63">
        <w:rPr>
          <w:rFonts w:ascii="Arial" w:hAnsi="Arial" w:cs="Arial"/>
          <w:sz w:val="22"/>
          <w:szCs w:val="22"/>
        </w:rPr>
        <w:t xml:space="preserve">  </w:t>
      </w:r>
      <w:r w:rsidR="00422E87" w:rsidRPr="00953F03">
        <w:rPr>
          <w:rFonts w:ascii="Arial" w:hAnsi="Arial" w:cs="Arial"/>
          <w:sz w:val="22"/>
          <w:szCs w:val="22"/>
        </w:rPr>
        <w:t>Readmission</w:t>
      </w:r>
    </w:p>
    <w:p w14:paraId="4C6C3E16" w14:textId="77777777" w:rsidR="00422E87" w:rsidRPr="00953F03" w:rsidRDefault="00422E87" w:rsidP="002D233E">
      <w:pPr>
        <w:ind w:left="360"/>
        <w:rPr>
          <w:rFonts w:ascii="Arial" w:hAnsi="Arial" w:cs="Arial"/>
          <w:sz w:val="22"/>
          <w:szCs w:val="22"/>
          <w:u w:val="single"/>
        </w:rPr>
      </w:pPr>
    </w:p>
    <w:p w14:paraId="619EC271" w14:textId="20918592" w:rsidR="00422E87" w:rsidRDefault="00422E87" w:rsidP="002D233E">
      <w:pPr>
        <w:ind w:left="720"/>
        <w:rPr>
          <w:rFonts w:ascii="Arial" w:hAnsi="Arial" w:cs="Arial"/>
          <w:sz w:val="22"/>
          <w:szCs w:val="22"/>
        </w:rPr>
      </w:pPr>
      <w:r w:rsidRPr="00422E87">
        <w:rPr>
          <w:rFonts w:ascii="Arial" w:hAnsi="Arial" w:cs="Arial"/>
          <w:sz w:val="22"/>
          <w:szCs w:val="22"/>
        </w:rPr>
        <w:t>If a student is permanent</w:t>
      </w:r>
      <w:r w:rsidR="00927201">
        <w:rPr>
          <w:rFonts w:ascii="Arial" w:hAnsi="Arial" w:cs="Arial"/>
          <w:sz w:val="22"/>
          <w:szCs w:val="22"/>
        </w:rPr>
        <w:t>ly excluded from the University</w:t>
      </w:r>
      <w:r w:rsidRPr="00422E87">
        <w:rPr>
          <w:rFonts w:ascii="Arial" w:hAnsi="Arial" w:cs="Arial"/>
          <w:sz w:val="22"/>
          <w:szCs w:val="22"/>
        </w:rPr>
        <w:t xml:space="preserve"> </w:t>
      </w:r>
      <w:r w:rsidR="00CE063F">
        <w:rPr>
          <w:rFonts w:ascii="Arial" w:hAnsi="Arial" w:cs="Arial"/>
          <w:sz w:val="22"/>
          <w:szCs w:val="22"/>
        </w:rPr>
        <w:t>under either the Warning</w:t>
      </w:r>
      <w:r w:rsidR="00B96383">
        <w:rPr>
          <w:rFonts w:ascii="Arial" w:hAnsi="Arial" w:cs="Arial"/>
          <w:sz w:val="22"/>
          <w:szCs w:val="22"/>
        </w:rPr>
        <w:t xml:space="preserve"> Procedure </w:t>
      </w:r>
      <w:r w:rsidRPr="00422E87">
        <w:rPr>
          <w:rFonts w:ascii="Arial" w:hAnsi="Arial" w:cs="Arial"/>
          <w:sz w:val="22"/>
          <w:szCs w:val="22"/>
        </w:rPr>
        <w:t xml:space="preserve">by the </w:t>
      </w:r>
      <w:r w:rsidR="00CE2286">
        <w:rPr>
          <w:rFonts w:ascii="Arial" w:hAnsi="Arial" w:cs="Arial"/>
          <w:sz w:val="22"/>
          <w:szCs w:val="22"/>
        </w:rPr>
        <w:t xml:space="preserve">Deputy </w:t>
      </w:r>
      <w:r w:rsidRPr="00422E87">
        <w:rPr>
          <w:rFonts w:ascii="Arial" w:hAnsi="Arial" w:cs="Arial"/>
          <w:sz w:val="22"/>
          <w:szCs w:val="22"/>
        </w:rPr>
        <w:t>Vice-Chancellor</w:t>
      </w:r>
      <w:r w:rsidR="00927201">
        <w:rPr>
          <w:rFonts w:ascii="Arial" w:hAnsi="Arial" w:cs="Arial"/>
          <w:sz w:val="22"/>
          <w:szCs w:val="22"/>
        </w:rPr>
        <w:t>: Student Education</w:t>
      </w:r>
      <w:r w:rsidRPr="00422E87">
        <w:rPr>
          <w:rFonts w:ascii="Arial" w:hAnsi="Arial" w:cs="Arial"/>
          <w:sz w:val="22"/>
          <w:szCs w:val="22"/>
        </w:rPr>
        <w:t xml:space="preserve">, the student is not </w:t>
      </w:r>
      <w:r w:rsidR="00B96383">
        <w:rPr>
          <w:rFonts w:ascii="Arial" w:hAnsi="Arial" w:cs="Arial"/>
          <w:sz w:val="22"/>
          <w:szCs w:val="22"/>
        </w:rPr>
        <w:t xml:space="preserve">normally </w:t>
      </w:r>
      <w:r w:rsidRPr="00422E87">
        <w:rPr>
          <w:rFonts w:ascii="Arial" w:hAnsi="Arial" w:cs="Arial"/>
          <w:sz w:val="22"/>
          <w:szCs w:val="22"/>
        </w:rPr>
        <w:t>permitted to re-enter the University</w:t>
      </w:r>
      <w:r w:rsidR="00721B43">
        <w:rPr>
          <w:rFonts w:ascii="Arial" w:hAnsi="Arial" w:cs="Arial"/>
          <w:sz w:val="22"/>
          <w:szCs w:val="22"/>
        </w:rPr>
        <w:t xml:space="preserve"> on any programme of study</w:t>
      </w:r>
      <w:r w:rsidRPr="00422E87">
        <w:rPr>
          <w:rFonts w:ascii="Arial" w:hAnsi="Arial" w:cs="Arial"/>
          <w:sz w:val="22"/>
          <w:szCs w:val="22"/>
        </w:rPr>
        <w:t>.</w:t>
      </w:r>
      <w:r w:rsidR="00721B43">
        <w:rPr>
          <w:rFonts w:ascii="Arial" w:hAnsi="Arial" w:cs="Arial"/>
          <w:sz w:val="22"/>
          <w:szCs w:val="22"/>
        </w:rPr>
        <w:t xml:space="preserve">  </w:t>
      </w:r>
    </w:p>
    <w:p w14:paraId="03A9E127" w14:textId="3DB0F6E6" w:rsidR="00181F63" w:rsidRDefault="00181F63" w:rsidP="00181F63">
      <w:pPr>
        <w:rPr>
          <w:rFonts w:ascii="Arial" w:hAnsi="Arial" w:cs="Arial"/>
          <w:sz w:val="22"/>
          <w:szCs w:val="22"/>
        </w:rPr>
      </w:pPr>
    </w:p>
    <w:p w14:paraId="48FCA667" w14:textId="4378098A" w:rsidR="00181F63" w:rsidRDefault="00181F63" w:rsidP="00181F63">
      <w:pPr>
        <w:ind w:firstLine="142"/>
        <w:rPr>
          <w:rFonts w:ascii="Arial" w:hAnsi="Arial" w:cs="Arial"/>
          <w:sz w:val="22"/>
          <w:szCs w:val="22"/>
        </w:rPr>
      </w:pPr>
      <w:r>
        <w:rPr>
          <w:rFonts w:ascii="Arial" w:hAnsi="Arial" w:cs="Arial"/>
          <w:sz w:val="22"/>
          <w:szCs w:val="22"/>
        </w:rPr>
        <w:t>2.8    Fitness to Study</w:t>
      </w:r>
    </w:p>
    <w:p w14:paraId="66714837" w14:textId="3A778E72" w:rsidR="003672DF" w:rsidRDefault="00181F63" w:rsidP="003672DF">
      <w:pPr>
        <w:ind w:left="709" w:hanging="709"/>
        <w:rPr>
          <w:rFonts w:ascii="Arial" w:hAnsi="Arial" w:cs="Arial"/>
          <w:sz w:val="22"/>
          <w:szCs w:val="22"/>
        </w:rPr>
      </w:pPr>
      <w:r>
        <w:rPr>
          <w:rFonts w:ascii="Arial" w:hAnsi="Arial" w:cs="Arial"/>
          <w:sz w:val="22"/>
          <w:szCs w:val="22"/>
        </w:rPr>
        <w:tab/>
      </w:r>
    </w:p>
    <w:p w14:paraId="09E3A76F" w14:textId="2E568E8D" w:rsidR="003672DF" w:rsidRDefault="003672DF" w:rsidP="008B415C">
      <w:pPr>
        <w:ind w:left="1276" w:hanging="567"/>
        <w:rPr>
          <w:rFonts w:ascii="Arial" w:hAnsi="Arial" w:cs="Arial"/>
          <w:sz w:val="22"/>
          <w:szCs w:val="22"/>
        </w:rPr>
      </w:pPr>
      <w:r>
        <w:rPr>
          <w:rFonts w:ascii="Arial" w:hAnsi="Arial" w:cs="Arial"/>
          <w:sz w:val="22"/>
          <w:szCs w:val="22"/>
        </w:rPr>
        <w:t xml:space="preserve">2.8.1 </w:t>
      </w:r>
      <w:r w:rsidR="00181F63">
        <w:rPr>
          <w:rFonts w:ascii="Arial" w:hAnsi="Arial" w:cs="Arial"/>
          <w:sz w:val="22"/>
          <w:szCs w:val="22"/>
        </w:rPr>
        <w:t xml:space="preserve">A student may be referred by a School or the Head of Student Cases or Nominee under the University Fitness to Study Procedure, if </w:t>
      </w:r>
      <w:r>
        <w:rPr>
          <w:rFonts w:ascii="Arial" w:hAnsi="Arial" w:cs="Arial"/>
          <w:sz w:val="22"/>
          <w:szCs w:val="22"/>
        </w:rPr>
        <w:t xml:space="preserve">during the Procedure </w:t>
      </w:r>
      <w:r w:rsidR="008B415C">
        <w:rPr>
          <w:rFonts w:ascii="Arial" w:hAnsi="Arial" w:cs="Arial"/>
          <w:sz w:val="22"/>
          <w:szCs w:val="22"/>
        </w:rPr>
        <w:t xml:space="preserve">concerns are raised, and evidence is presented </w:t>
      </w:r>
      <w:r w:rsidR="00181F63">
        <w:rPr>
          <w:rFonts w:ascii="Arial" w:hAnsi="Arial" w:cs="Arial"/>
          <w:sz w:val="22"/>
          <w:szCs w:val="22"/>
        </w:rPr>
        <w:t xml:space="preserve">that a student is not </w:t>
      </w:r>
      <w:r w:rsidR="008B415C">
        <w:rPr>
          <w:rFonts w:ascii="Arial" w:hAnsi="Arial" w:cs="Arial"/>
          <w:sz w:val="22"/>
          <w:szCs w:val="22"/>
        </w:rPr>
        <w:t>fit to study.  The Procedure will be concluded at the point of referral, but all warnings previously given will remain in place on the student’s file.</w:t>
      </w:r>
    </w:p>
    <w:p w14:paraId="22512106" w14:textId="77777777" w:rsidR="003672DF" w:rsidRDefault="003672DF" w:rsidP="00181F63">
      <w:pPr>
        <w:ind w:left="709"/>
        <w:rPr>
          <w:rFonts w:ascii="Arial" w:hAnsi="Arial" w:cs="Arial"/>
          <w:sz w:val="22"/>
          <w:szCs w:val="22"/>
        </w:rPr>
      </w:pPr>
    </w:p>
    <w:p w14:paraId="59EBD070" w14:textId="5B596493" w:rsidR="008B415C" w:rsidRDefault="003672DF" w:rsidP="008B415C">
      <w:pPr>
        <w:ind w:left="1276" w:hanging="567"/>
        <w:rPr>
          <w:rFonts w:ascii="Arial" w:hAnsi="Arial" w:cs="Arial"/>
          <w:sz w:val="22"/>
          <w:szCs w:val="22"/>
        </w:rPr>
      </w:pPr>
      <w:r>
        <w:rPr>
          <w:rFonts w:ascii="Arial" w:hAnsi="Arial" w:cs="Arial"/>
          <w:sz w:val="22"/>
          <w:szCs w:val="22"/>
        </w:rPr>
        <w:t xml:space="preserve">2.8.2 The Deputy Vice Chancellor: Student Education may determine that a Student should be ill health excluded under the Fitness to Study Procedure rather than permanently excluded under this Procedure if the evidence presented </w:t>
      </w:r>
      <w:r w:rsidR="008B415C">
        <w:rPr>
          <w:rFonts w:ascii="Arial" w:hAnsi="Arial" w:cs="Arial"/>
          <w:sz w:val="22"/>
          <w:szCs w:val="22"/>
        </w:rPr>
        <w:t xml:space="preserve">at 2.3.1 </w:t>
      </w:r>
      <w:r>
        <w:rPr>
          <w:rFonts w:ascii="Arial" w:hAnsi="Arial" w:cs="Arial"/>
          <w:sz w:val="22"/>
          <w:szCs w:val="22"/>
        </w:rPr>
        <w:t>demonstrates that the reason for unsatisfactory work, attendance and engagement is health related.</w:t>
      </w:r>
      <w:r w:rsidR="008B415C">
        <w:rPr>
          <w:rFonts w:ascii="Arial" w:hAnsi="Arial" w:cs="Arial"/>
          <w:sz w:val="22"/>
          <w:szCs w:val="22"/>
        </w:rPr>
        <w:t xml:space="preserve"> All warnings previously given under the Procedure will remain in place on the student’s file.</w:t>
      </w:r>
    </w:p>
    <w:p w14:paraId="46A83F30" w14:textId="77777777" w:rsidR="008B415C" w:rsidRDefault="008B415C" w:rsidP="008B415C">
      <w:pPr>
        <w:ind w:left="709"/>
        <w:rPr>
          <w:rFonts w:ascii="Arial" w:hAnsi="Arial" w:cs="Arial"/>
          <w:sz w:val="22"/>
          <w:szCs w:val="22"/>
        </w:rPr>
      </w:pPr>
    </w:p>
    <w:p w14:paraId="1C2BA56C" w14:textId="761DCDED" w:rsidR="00181F63" w:rsidRPr="00422E87" w:rsidRDefault="00181F63" w:rsidP="008B415C">
      <w:pPr>
        <w:ind w:left="1276" w:hanging="567"/>
        <w:rPr>
          <w:rFonts w:ascii="Arial" w:hAnsi="Arial" w:cs="Arial"/>
          <w:sz w:val="22"/>
          <w:szCs w:val="22"/>
        </w:rPr>
      </w:pPr>
    </w:p>
    <w:p w14:paraId="5CAD1894" w14:textId="77777777" w:rsidR="00422E87" w:rsidRPr="00422E87" w:rsidRDefault="00422E87" w:rsidP="002D233E">
      <w:pPr>
        <w:pStyle w:val="BodyTextIndent3"/>
        <w:ind w:left="0"/>
        <w:rPr>
          <w:rFonts w:ascii="Arial" w:hAnsi="Arial" w:cs="Arial"/>
          <w:b/>
          <w:sz w:val="22"/>
          <w:szCs w:val="22"/>
        </w:rPr>
      </w:pPr>
    </w:p>
    <w:p w14:paraId="15D81C4D" w14:textId="0B77229E" w:rsidR="00CC5AA8" w:rsidRPr="00E27A65" w:rsidRDefault="00B96383" w:rsidP="00E27A65">
      <w:pPr>
        <w:pStyle w:val="ListParagraph"/>
        <w:numPr>
          <w:ilvl w:val="0"/>
          <w:numId w:val="36"/>
        </w:numPr>
        <w:rPr>
          <w:b/>
          <w:sz w:val="22"/>
          <w:szCs w:val="22"/>
        </w:rPr>
      </w:pPr>
      <w:r w:rsidRPr="00E27A65">
        <w:rPr>
          <w:b/>
          <w:sz w:val="22"/>
          <w:szCs w:val="22"/>
        </w:rPr>
        <w:t>Advice and</w:t>
      </w:r>
      <w:r w:rsidR="004A55D4" w:rsidRPr="00E27A65">
        <w:rPr>
          <w:b/>
          <w:sz w:val="22"/>
          <w:szCs w:val="22"/>
        </w:rPr>
        <w:t xml:space="preserve"> Contacting the Student Cases Team</w:t>
      </w:r>
    </w:p>
    <w:p w14:paraId="35F08C5B" w14:textId="77777777" w:rsidR="00CC5AA8" w:rsidRDefault="00CC5AA8" w:rsidP="00CC5AA8"/>
    <w:p w14:paraId="5DE50ACF" w14:textId="4EDF95DF" w:rsidR="00CC5AA8" w:rsidRPr="00953F03" w:rsidRDefault="00953F03" w:rsidP="00CC5AA8">
      <w:pPr>
        <w:rPr>
          <w:rFonts w:ascii="Arial" w:hAnsi="Arial" w:cs="Arial"/>
          <w:sz w:val="22"/>
          <w:szCs w:val="22"/>
        </w:rPr>
      </w:pPr>
      <w:r>
        <w:t xml:space="preserve">    </w:t>
      </w:r>
      <w:r w:rsidR="00E27A65">
        <w:t xml:space="preserve"> </w:t>
      </w:r>
      <w:r w:rsidR="00E27A65" w:rsidRPr="00E27A65">
        <w:rPr>
          <w:rFonts w:ascii="Arial" w:hAnsi="Arial" w:cs="Arial"/>
        </w:rPr>
        <w:t>3</w:t>
      </w:r>
      <w:r w:rsidR="00721B43" w:rsidRPr="00E27A65">
        <w:rPr>
          <w:rFonts w:ascii="Arial" w:hAnsi="Arial" w:cs="Arial"/>
        </w:rPr>
        <w:t>.1</w:t>
      </w:r>
      <w:r w:rsidR="00721B43">
        <w:t xml:space="preserve"> </w:t>
      </w:r>
      <w:r>
        <w:t xml:space="preserve">  </w:t>
      </w:r>
      <w:r w:rsidR="004A55D4" w:rsidRPr="00953F03">
        <w:rPr>
          <w:rFonts w:ascii="Arial" w:hAnsi="Arial" w:cs="Arial"/>
          <w:sz w:val="22"/>
          <w:szCs w:val="22"/>
        </w:rPr>
        <w:t>The Student Cases Team can give procedural advice to students on the Procedure.</w:t>
      </w:r>
    </w:p>
    <w:p w14:paraId="6779CA48" w14:textId="77777777" w:rsidR="00CC5AA8" w:rsidRPr="00953F03" w:rsidRDefault="00CC5AA8" w:rsidP="00CC5AA8">
      <w:pPr>
        <w:rPr>
          <w:rFonts w:ascii="Arial" w:hAnsi="Arial" w:cs="Arial"/>
          <w:sz w:val="22"/>
          <w:szCs w:val="22"/>
        </w:rPr>
      </w:pPr>
    </w:p>
    <w:p w14:paraId="3C4C6290" w14:textId="77777777" w:rsidR="00CC5AA8" w:rsidRPr="00953F03" w:rsidRDefault="004A55D4" w:rsidP="00CC5AA8">
      <w:pPr>
        <w:ind w:left="720"/>
        <w:rPr>
          <w:rFonts w:ascii="Arial" w:hAnsi="Arial" w:cs="Arial"/>
          <w:sz w:val="22"/>
          <w:szCs w:val="22"/>
        </w:rPr>
      </w:pPr>
      <w:r w:rsidRPr="00953F03">
        <w:rPr>
          <w:rFonts w:ascii="Arial" w:hAnsi="Arial" w:cs="Arial"/>
          <w:sz w:val="22"/>
          <w:szCs w:val="22"/>
        </w:rPr>
        <w:t>Contact details for the Student Cases Team are as follows:</w:t>
      </w:r>
    </w:p>
    <w:p w14:paraId="541D020F" w14:textId="77777777" w:rsidR="00214098" w:rsidRPr="00953F03" w:rsidRDefault="004A55D4" w:rsidP="00214098">
      <w:pPr>
        <w:ind w:left="720"/>
        <w:rPr>
          <w:rFonts w:ascii="Arial" w:hAnsi="Arial" w:cs="Arial"/>
          <w:sz w:val="22"/>
          <w:szCs w:val="22"/>
        </w:rPr>
      </w:pPr>
      <w:r w:rsidRPr="00953F03">
        <w:rPr>
          <w:rFonts w:ascii="Arial" w:hAnsi="Arial" w:cs="Arial"/>
          <w:sz w:val="22"/>
          <w:szCs w:val="22"/>
        </w:rPr>
        <w:t xml:space="preserve">Email: studentcases@leeds.ac.uk  </w:t>
      </w:r>
      <w:r w:rsidR="00B96383" w:rsidRPr="00953F03">
        <w:rPr>
          <w:rFonts w:ascii="Arial" w:hAnsi="Arial" w:cs="Arial"/>
          <w:sz w:val="22"/>
          <w:szCs w:val="22"/>
        </w:rPr>
        <w:t xml:space="preserve">Web: </w:t>
      </w:r>
      <w:hyperlink r:id="rId13" w:history="1">
        <w:r w:rsidRPr="00953F03">
          <w:rPr>
            <w:rStyle w:val="Hyperlink"/>
            <w:rFonts w:ascii="Arial" w:hAnsi="Arial" w:cs="Arial"/>
            <w:sz w:val="22"/>
            <w:szCs w:val="22"/>
          </w:rPr>
          <w:t>http://www.leeds.ac.uk/secretariat/student_cases.html</w:t>
        </w:r>
      </w:hyperlink>
      <w:r w:rsidRPr="00953F03">
        <w:rPr>
          <w:rFonts w:ascii="Arial" w:hAnsi="Arial" w:cs="Arial"/>
          <w:sz w:val="22"/>
          <w:szCs w:val="22"/>
        </w:rPr>
        <w:t xml:space="preserve">. </w:t>
      </w:r>
    </w:p>
    <w:p w14:paraId="5A710183" w14:textId="77777777" w:rsidR="00214098" w:rsidRPr="00953F03" w:rsidRDefault="00214098" w:rsidP="00214098">
      <w:pPr>
        <w:rPr>
          <w:rFonts w:ascii="Arial" w:hAnsi="Arial" w:cs="Arial"/>
          <w:sz w:val="22"/>
          <w:szCs w:val="22"/>
        </w:rPr>
      </w:pPr>
    </w:p>
    <w:p w14:paraId="12D906F7" w14:textId="77777777" w:rsidR="00214098" w:rsidRPr="00953F03" w:rsidRDefault="00721B43" w:rsidP="00953F03">
      <w:pPr>
        <w:ind w:left="720"/>
        <w:rPr>
          <w:rFonts w:ascii="Arial" w:hAnsi="Arial" w:cs="Arial"/>
          <w:sz w:val="22"/>
          <w:szCs w:val="22"/>
        </w:rPr>
      </w:pPr>
      <w:r w:rsidRPr="00953F03">
        <w:rPr>
          <w:rFonts w:ascii="Arial" w:hAnsi="Arial" w:cs="Arial"/>
          <w:sz w:val="22"/>
          <w:szCs w:val="22"/>
        </w:rPr>
        <w:t xml:space="preserve">All documents under the Procedure should be sent by email to </w:t>
      </w:r>
      <w:hyperlink r:id="rId14" w:history="1">
        <w:r w:rsidRPr="00953F03">
          <w:rPr>
            <w:rStyle w:val="Hyperlink"/>
            <w:rFonts w:ascii="Arial" w:hAnsi="Arial" w:cs="Arial"/>
            <w:sz w:val="22"/>
            <w:szCs w:val="22"/>
          </w:rPr>
          <w:t>studentcases@leeds.ac.uk</w:t>
        </w:r>
      </w:hyperlink>
      <w:r w:rsidRPr="00953F03">
        <w:rPr>
          <w:rFonts w:ascii="Arial" w:hAnsi="Arial" w:cs="Arial"/>
          <w:sz w:val="22"/>
          <w:szCs w:val="22"/>
        </w:rPr>
        <w:t xml:space="preserve">. </w:t>
      </w:r>
      <w:r w:rsidR="004A55D4" w:rsidRPr="00953F03">
        <w:rPr>
          <w:rFonts w:ascii="Arial" w:hAnsi="Arial" w:cs="Arial"/>
          <w:sz w:val="22"/>
          <w:szCs w:val="22"/>
        </w:rPr>
        <w:t xml:space="preserve">Receipt of documents will be acknowledged through the student’s University email account. </w:t>
      </w:r>
    </w:p>
    <w:p w14:paraId="4718B6B5" w14:textId="77777777" w:rsidR="00214098" w:rsidRDefault="00214098" w:rsidP="00953F03">
      <w:pPr>
        <w:ind w:left="720"/>
      </w:pPr>
    </w:p>
    <w:p w14:paraId="5B023C91" w14:textId="217BDBCA" w:rsidR="004A55D4" w:rsidRPr="00E27A65" w:rsidRDefault="004A55D4" w:rsidP="00E27A65">
      <w:pPr>
        <w:pStyle w:val="ListParagraph"/>
        <w:numPr>
          <w:ilvl w:val="1"/>
          <w:numId w:val="36"/>
        </w:numPr>
        <w:rPr>
          <w:sz w:val="22"/>
          <w:szCs w:val="22"/>
        </w:rPr>
      </w:pPr>
      <w:r w:rsidRPr="00E27A65">
        <w:rPr>
          <w:sz w:val="22"/>
          <w:szCs w:val="22"/>
        </w:rPr>
        <w:t>If students require an adjustment to the procedure due to disability or accessibility ne</w:t>
      </w:r>
      <w:r w:rsidR="00171C33" w:rsidRPr="00E27A65">
        <w:rPr>
          <w:sz w:val="22"/>
          <w:szCs w:val="22"/>
        </w:rPr>
        <w:t>ed they are asked to contact the</w:t>
      </w:r>
      <w:r w:rsidRPr="00E27A65">
        <w:rPr>
          <w:sz w:val="22"/>
          <w:szCs w:val="22"/>
        </w:rPr>
        <w:t xml:space="preserve"> Student Cases Team by emailing studentcases@leeds.ac.uk with details. </w:t>
      </w:r>
    </w:p>
    <w:p w14:paraId="54BEA4C9" w14:textId="054DB743" w:rsidR="004A55D4" w:rsidRPr="004A55D4" w:rsidRDefault="004A55D4" w:rsidP="004A55D4"/>
    <w:tbl>
      <w:tblPr>
        <w:tblStyle w:val="TableGrid1"/>
        <w:tblpPr w:leftFromText="180" w:rightFromText="180" w:vertAnchor="text" w:horzAnchor="margin" w:tblpY="2892"/>
        <w:tblW w:w="0" w:type="auto"/>
        <w:tblInd w:w="0" w:type="dxa"/>
        <w:tblLook w:val="04A0" w:firstRow="1" w:lastRow="0" w:firstColumn="1" w:lastColumn="0" w:noHBand="0" w:noVBand="1"/>
      </w:tblPr>
      <w:tblGrid>
        <w:gridCol w:w="4508"/>
        <w:gridCol w:w="4508"/>
      </w:tblGrid>
      <w:tr w:rsidR="00171C33" w14:paraId="02CD58CE" w14:textId="77777777" w:rsidTr="00171C33">
        <w:tc>
          <w:tcPr>
            <w:tcW w:w="9016" w:type="dxa"/>
            <w:gridSpan w:val="2"/>
            <w:tcBorders>
              <w:top w:val="single" w:sz="4" w:space="0" w:color="auto"/>
              <w:left w:val="single" w:sz="4" w:space="0" w:color="auto"/>
              <w:bottom w:val="single" w:sz="4" w:space="0" w:color="auto"/>
              <w:right w:val="single" w:sz="4" w:space="0" w:color="auto"/>
            </w:tcBorders>
            <w:hideMark/>
          </w:tcPr>
          <w:p w14:paraId="3BB3FBBD" w14:textId="77777777" w:rsidR="00171C33" w:rsidRDefault="00171C33" w:rsidP="00171C33">
            <w:pPr>
              <w:spacing w:before="100" w:beforeAutospacing="1" w:after="100" w:afterAutospacing="1"/>
              <w:jc w:val="center"/>
              <w:rPr>
                <w:rFonts w:ascii="Arial" w:hAnsi="Arial" w:cs="Arial"/>
                <w:bCs/>
                <w:sz w:val="22"/>
                <w:szCs w:val="22"/>
              </w:rPr>
            </w:pPr>
            <w:r>
              <w:rPr>
                <w:rFonts w:ascii="Arial" w:hAnsi="Arial" w:cs="Arial"/>
                <w:bCs/>
                <w:sz w:val="22"/>
                <w:szCs w:val="22"/>
              </w:rPr>
              <w:t>Document Control</w:t>
            </w:r>
          </w:p>
        </w:tc>
      </w:tr>
      <w:tr w:rsidR="00171C33" w14:paraId="4770D4CE" w14:textId="77777777" w:rsidTr="00171C33">
        <w:trPr>
          <w:trHeight w:val="379"/>
        </w:trPr>
        <w:tc>
          <w:tcPr>
            <w:tcW w:w="4508" w:type="dxa"/>
            <w:tcBorders>
              <w:top w:val="single" w:sz="4" w:space="0" w:color="auto"/>
              <w:left w:val="single" w:sz="4" w:space="0" w:color="auto"/>
              <w:bottom w:val="single" w:sz="4" w:space="0" w:color="auto"/>
              <w:right w:val="single" w:sz="4" w:space="0" w:color="auto"/>
            </w:tcBorders>
            <w:hideMark/>
          </w:tcPr>
          <w:p w14:paraId="1AD493D5" w14:textId="255E63B2" w:rsidR="00171C33" w:rsidRDefault="00171C33" w:rsidP="007B5B99">
            <w:pPr>
              <w:spacing w:before="100" w:beforeAutospacing="1" w:after="100" w:afterAutospacing="1"/>
              <w:outlineLvl w:val="1"/>
              <w:rPr>
                <w:rFonts w:ascii="Arial" w:hAnsi="Arial" w:cs="Arial"/>
                <w:bCs/>
                <w:sz w:val="22"/>
                <w:szCs w:val="22"/>
              </w:rPr>
            </w:pPr>
            <w:r>
              <w:rPr>
                <w:rFonts w:ascii="Arial" w:hAnsi="Arial" w:cs="Arial"/>
                <w:bCs/>
                <w:sz w:val="22"/>
                <w:szCs w:val="22"/>
              </w:rPr>
              <w:t xml:space="preserve">Document Title: </w:t>
            </w:r>
            <w:r w:rsidR="007B5B99" w:rsidRPr="00422E87">
              <w:rPr>
                <w:rFonts w:ascii="Arial" w:hAnsi="Arial" w:cs="Arial"/>
                <w:i/>
                <w:sz w:val="22"/>
                <w:szCs w:val="22"/>
              </w:rPr>
              <w:t xml:space="preserve"> Unsatisfactory </w:t>
            </w:r>
            <w:r w:rsidR="007B5B99">
              <w:rPr>
                <w:rFonts w:ascii="Arial" w:hAnsi="Arial" w:cs="Arial"/>
                <w:i/>
                <w:sz w:val="22"/>
                <w:szCs w:val="22"/>
              </w:rPr>
              <w:t xml:space="preserve">Work, Attendance and Engagement </w:t>
            </w:r>
            <w:r w:rsidR="007B5B99" w:rsidRPr="00422E87">
              <w:rPr>
                <w:rFonts w:ascii="Arial" w:hAnsi="Arial" w:cs="Arial"/>
                <w:i/>
                <w:sz w:val="22"/>
                <w:szCs w:val="22"/>
              </w:rPr>
              <w:t>Procedure</w:t>
            </w:r>
          </w:p>
        </w:tc>
        <w:tc>
          <w:tcPr>
            <w:tcW w:w="4508" w:type="dxa"/>
            <w:tcBorders>
              <w:top w:val="single" w:sz="4" w:space="0" w:color="auto"/>
              <w:left w:val="single" w:sz="4" w:space="0" w:color="auto"/>
              <w:bottom w:val="single" w:sz="4" w:space="0" w:color="auto"/>
              <w:right w:val="single" w:sz="4" w:space="0" w:color="auto"/>
            </w:tcBorders>
            <w:hideMark/>
          </w:tcPr>
          <w:p w14:paraId="6838004F" w14:textId="77777777" w:rsidR="00171C33" w:rsidRDefault="00171C33" w:rsidP="00171C33">
            <w:pPr>
              <w:spacing w:before="100" w:beforeAutospacing="1" w:after="100" w:afterAutospacing="1"/>
              <w:rPr>
                <w:rFonts w:ascii="Arial" w:hAnsi="Arial" w:cs="Arial"/>
                <w:bCs/>
                <w:sz w:val="22"/>
                <w:szCs w:val="22"/>
              </w:rPr>
            </w:pPr>
            <w:r>
              <w:rPr>
                <w:rFonts w:ascii="Arial" w:hAnsi="Arial" w:cs="Arial"/>
                <w:bCs/>
                <w:sz w:val="22"/>
                <w:szCs w:val="22"/>
              </w:rPr>
              <w:t>Document Owner: Secretariat</w:t>
            </w:r>
          </w:p>
        </w:tc>
      </w:tr>
      <w:tr w:rsidR="00171C33" w14:paraId="7B52206E" w14:textId="77777777" w:rsidTr="00171C33">
        <w:trPr>
          <w:trHeight w:val="426"/>
        </w:trPr>
        <w:tc>
          <w:tcPr>
            <w:tcW w:w="4508" w:type="dxa"/>
            <w:tcBorders>
              <w:top w:val="single" w:sz="4" w:space="0" w:color="auto"/>
              <w:left w:val="single" w:sz="4" w:space="0" w:color="auto"/>
              <w:bottom w:val="single" w:sz="4" w:space="0" w:color="auto"/>
              <w:right w:val="single" w:sz="4" w:space="0" w:color="auto"/>
            </w:tcBorders>
            <w:hideMark/>
          </w:tcPr>
          <w:p w14:paraId="4EA0B136" w14:textId="400A504C" w:rsidR="00171C33" w:rsidRDefault="007B5B99" w:rsidP="00171C33">
            <w:pPr>
              <w:spacing w:before="100" w:beforeAutospacing="1" w:after="100" w:afterAutospacing="1"/>
              <w:rPr>
                <w:rFonts w:ascii="Arial" w:hAnsi="Arial" w:cs="Arial"/>
                <w:bCs/>
                <w:sz w:val="22"/>
                <w:szCs w:val="22"/>
              </w:rPr>
            </w:pPr>
            <w:r>
              <w:rPr>
                <w:rFonts w:ascii="Arial" w:hAnsi="Arial" w:cs="Arial"/>
                <w:bCs/>
                <w:sz w:val="22"/>
                <w:szCs w:val="22"/>
              </w:rPr>
              <w:t>Version Number: v.</w:t>
            </w:r>
            <w:r w:rsidR="002F4344">
              <w:rPr>
                <w:rFonts w:ascii="Arial" w:hAnsi="Arial" w:cs="Arial"/>
                <w:bCs/>
                <w:sz w:val="22"/>
                <w:szCs w:val="22"/>
              </w:rPr>
              <w:t>4</w:t>
            </w:r>
          </w:p>
        </w:tc>
        <w:tc>
          <w:tcPr>
            <w:tcW w:w="4508" w:type="dxa"/>
            <w:tcBorders>
              <w:top w:val="single" w:sz="4" w:space="0" w:color="auto"/>
              <w:left w:val="single" w:sz="4" w:space="0" w:color="auto"/>
              <w:bottom w:val="single" w:sz="4" w:space="0" w:color="auto"/>
              <w:right w:val="single" w:sz="4" w:space="0" w:color="auto"/>
            </w:tcBorders>
            <w:hideMark/>
          </w:tcPr>
          <w:p w14:paraId="05BB3E4F" w14:textId="001BA5DC" w:rsidR="00171C33" w:rsidRDefault="00B96383" w:rsidP="00171C33">
            <w:pPr>
              <w:spacing w:before="100" w:beforeAutospacing="1" w:after="100" w:afterAutospacing="1"/>
              <w:rPr>
                <w:rFonts w:ascii="Arial" w:hAnsi="Arial" w:cs="Arial"/>
                <w:bCs/>
                <w:sz w:val="22"/>
                <w:szCs w:val="22"/>
              </w:rPr>
            </w:pPr>
            <w:r>
              <w:rPr>
                <w:rFonts w:ascii="Arial" w:hAnsi="Arial" w:cs="Arial"/>
                <w:bCs/>
                <w:sz w:val="22"/>
                <w:szCs w:val="22"/>
              </w:rPr>
              <w:t xml:space="preserve">Date of Version (RD): </w:t>
            </w:r>
            <w:r w:rsidR="002F4344">
              <w:rPr>
                <w:rFonts w:ascii="Arial" w:hAnsi="Arial" w:cs="Arial"/>
                <w:bCs/>
                <w:sz w:val="22"/>
                <w:szCs w:val="22"/>
              </w:rPr>
              <w:t>090523</w:t>
            </w:r>
          </w:p>
        </w:tc>
      </w:tr>
    </w:tbl>
    <w:p w14:paraId="24DE4BEC" w14:textId="7A25E149" w:rsidR="00721B43" w:rsidRPr="002F4344" w:rsidRDefault="00721B43" w:rsidP="00E27A65">
      <w:pPr>
        <w:pStyle w:val="ListParagraph"/>
        <w:numPr>
          <w:ilvl w:val="1"/>
          <w:numId w:val="36"/>
        </w:numPr>
        <w:rPr>
          <w:i/>
          <w:sz w:val="22"/>
          <w:szCs w:val="22"/>
        </w:rPr>
      </w:pPr>
      <w:r w:rsidRPr="00E27A65">
        <w:rPr>
          <w:sz w:val="22"/>
          <w:szCs w:val="22"/>
        </w:rPr>
        <w:t xml:space="preserve"> </w:t>
      </w:r>
      <w:r w:rsidRPr="002F4344">
        <w:rPr>
          <w:sz w:val="22"/>
          <w:szCs w:val="22"/>
        </w:rPr>
        <w:t xml:space="preserve">Independent advice and support on the Procedure is available for students from the Leeds University Union </w:t>
      </w:r>
      <w:r w:rsidR="002F4344">
        <w:rPr>
          <w:sz w:val="22"/>
          <w:szCs w:val="22"/>
        </w:rPr>
        <w:t>Help and Support Team</w:t>
      </w:r>
      <w:r w:rsidRPr="002F4344">
        <w:rPr>
          <w:i/>
          <w:sz w:val="22"/>
          <w:szCs w:val="22"/>
        </w:rPr>
        <w:t>.</w:t>
      </w:r>
    </w:p>
    <w:p w14:paraId="4EAAF09C" w14:textId="77777777" w:rsidR="00721B43" w:rsidRDefault="00721B43" w:rsidP="00721B43">
      <w:pPr>
        <w:pStyle w:val="ListParagraph"/>
        <w:rPr>
          <w:i/>
          <w:sz w:val="22"/>
          <w:szCs w:val="22"/>
        </w:rPr>
      </w:pPr>
    </w:p>
    <w:p w14:paraId="6ACB002F" w14:textId="14AF51B5" w:rsidR="00171C33" w:rsidRPr="00721B43" w:rsidRDefault="00171C33" w:rsidP="00E27A65">
      <w:pPr>
        <w:pStyle w:val="ListParagraph"/>
        <w:numPr>
          <w:ilvl w:val="1"/>
          <w:numId w:val="36"/>
        </w:numPr>
        <w:rPr>
          <w:i/>
          <w:sz w:val="22"/>
          <w:szCs w:val="22"/>
        </w:rPr>
      </w:pPr>
      <w:r w:rsidRPr="00721B43">
        <w:rPr>
          <w:sz w:val="22"/>
          <w:szCs w:val="22"/>
        </w:rPr>
        <w:t>The University holds and retains information in accordance with the University Student Privacy Notice. For more information see www.leeds.ac.uk/privacynotice.</w:t>
      </w:r>
    </w:p>
    <w:sectPr w:rsidR="00171C33" w:rsidRPr="00721B43" w:rsidSect="00904A09">
      <w:headerReference w:type="default" r:id="rId15"/>
      <w:footerReference w:type="default" r:id="rId16"/>
      <w:headerReference w:type="first" r:id="rId17"/>
      <w:pgSz w:w="11906" w:h="16838" w:code="9"/>
      <w:pgMar w:top="1800" w:right="1440" w:bottom="450" w:left="1440" w:header="706" w:footer="5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7278B" w14:textId="77777777" w:rsidR="00673A68" w:rsidRDefault="00673A68" w:rsidP="000011D0">
      <w:r>
        <w:separator/>
      </w:r>
    </w:p>
  </w:endnote>
  <w:endnote w:type="continuationSeparator" w:id="0">
    <w:p w14:paraId="17ADE7EC" w14:textId="77777777" w:rsidR="00673A68" w:rsidRDefault="00673A68" w:rsidP="0000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238911367"/>
      <w:docPartObj>
        <w:docPartGallery w:val="Page Numbers (Bottom of Page)"/>
        <w:docPartUnique/>
      </w:docPartObj>
    </w:sdtPr>
    <w:sdtEndPr>
      <w:rPr>
        <w:rFonts w:ascii="Arial" w:hAnsi="Arial" w:cs="Arial"/>
        <w:noProof/>
      </w:rPr>
    </w:sdtEndPr>
    <w:sdtContent>
      <w:p w14:paraId="2A930F5A" w14:textId="0D82B566" w:rsidR="007B7978" w:rsidRPr="00142A30" w:rsidRDefault="007B7978" w:rsidP="007B7978">
        <w:pPr>
          <w:pStyle w:val="Footer"/>
          <w:jc w:val="center"/>
          <w:rPr>
            <w:rFonts w:ascii="Arial" w:hAnsi="Arial" w:cs="Arial"/>
            <w:sz w:val="22"/>
            <w:szCs w:val="22"/>
          </w:rPr>
        </w:pPr>
        <w:r w:rsidRPr="00142A30">
          <w:rPr>
            <w:rFonts w:ascii="Arial" w:hAnsi="Arial" w:cs="Arial"/>
            <w:sz w:val="22"/>
            <w:szCs w:val="22"/>
          </w:rPr>
          <w:fldChar w:fldCharType="begin"/>
        </w:r>
        <w:r w:rsidRPr="00142A30">
          <w:rPr>
            <w:rFonts w:ascii="Arial" w:hAnsi="Arial" w:cs="Arial"/>
            <w:sz w:val="22"/>
            <w:szCs w:val="22"/>
          </w:rPr>
          <w:instrText xml:space="preserve"> PAGE   \* MERGEFORMAT </w:instrText>
        </w:r>
        <w:r w:rsidRPr="00142A30">
          <w:rPr>
            <w:rFonts w:ascii="Arial" w:hAnsi="Arial" w:cs="Arial"/>
            <w:sz w:val="22"/>
            <w:szCs w:val="22"/>
          </w:rPr>
          <w:fldChar w:fldCharType="separate"/>
        </w:r>
        <w:r w:rsidR="00C04419">
          <w:rPr>
            <w:rFonts w:ascii="Arial" w:hAnsi="Arial" w:cs="Arial"/>
            <w:noProof/>
            <w:sz w:val="22"/>
            <w:szCs w:val="22"/>
          </w:rPr>
          <w:t>3</w:t>
        </w:r>
        <w:r w:rsidRPr="00142A30">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2BA13" w14:textId="77777777" w:rsidR="00673A68" w:rsidRDefault="00673A68" w:rsidP="000011D0">
      <w:r>
        <w:separator/>
      </w:r>
    </w:p>
  </w:footnote>
  <w:footnote w:type="continuationSeparator" w:id="0">
    <w:p w14:paraId="6853D356" w14:textId="77777777" w:rsidR="00673A68" w:rsidRDefault="00673A68" w:rsidP="000011D0">
      <w:r>
        <w:continuationSeparator/>
      </w:r>
    </w:p>
  </w:footnote>
  <w:footnote w:id="1">
    <w:p w14:paraId="761754CE" w14:textId="00326239" w:rsidR="00422E87" w:rsidRPr="004A55D4" w:rsidRDefault="00422E87" w:rsidP="00422E87">
      <w:pPr>
        <w:pStyle w:val="FootnoteText"/>
        <w:rPr>
          <w:rFonts w:ascii="Arial" w:hAnsi="Arial" w:cs="Arial"/>
        </w:rPr>
      </w:pPr>
      <w:r w:rsidRPr="00422E87">
        <w:rPr>
          <w:rStyle w:val="FootnoteReference"/>
          <w:rFonts w:ascii="Arial" w:eastAsiaTheme="majorEastAsia" w:hAnsi="Arial" w:cs="Arial"/>
          <w:sz w:val="22"/>
          <w:szCs w:val="22"/>
        </w:rPr>
        <w:footnoteRef/>
      </w:r>
      <w:r w:rsidRPr="00422E87">
        <w:rPr>
          <w:rFonts w:ascii="Arial" w:hAnsi="Arial" w:cs="Arial"/>
          <w:sz w:val="22"/>
          <w:szCs w:val="22"/>
        </w:rPr>
        <w:t xml:space="preserve"> </w:t>
      </w:r>
      <w:r w:rsidRPr="004A55D4">
        <w:rPr>
          <w:rFonts w:ascii="Arial" w:hAnsi="Arial" w:cs="Arial"/>
        </w:rPr>
        <w:t xml:space="preserve">See </w:t>
      </w:r>
      <w:r w:rsidR="00D604D4">
        <w:rPr>
          <w:rFonts w:ascii="Arial" w:hAnsi="Arial" w:cs="Arial"/>
        </w:rPr>
        <w:t xml:space="preserve">Student Contract </w:t>
      </w:r>
      <w:r w:rsidR="00171C33">
        <w:rPr>
          <w:rFonts w:ascii="Arial" w:hAnsi="Arial" w:cs="Arial"/>
        </w:rPr>
        <w:t>and Programme information for University expectations</w:t>
      </w:r>
      <w:r w:rsidRPr="004A55D4">
        <w:rPr>
          <w:rFonts w:ascii="Arial" w:hAnsi="Arial" w:cs="Arial"/>
        </w:rPr>
        <w:t>.</w:t>
      </w:r>
      <w:r w:rsidR="00082D40">
        <w:rPr>
          <w:rFonts w:ascii="Arial" w:hAnsi="Arial" w:cs="Arial"/>
        </w:rPr>
        <w:t xml:space="preserve">  Work, Attendance and Engagement includes teaching and learning activities both online and face to face.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6D3F1" w14:textId="77777777" w:rsidR="007B7978" w:rsidRDefault="007B7978">
    <w:pPr>
      <w:pStyle w:val="Header"/>
    </w:pPr>
    <w:r>
      <w:rPr>
        <w:noProof/>
      </w:rPr>
      <w:drawing>
        <wp:anchor distT="0" distB="0" distL="114300" distR="114300" simplePos="0" relativeHeight="251656192" behindDoc="0" locked="0" layoutInCell="1" allowOverlap="1" wp14:anchorId="0D969404" wp14:editId="64B9271B">
          <wp:simplePos x="0" y="0"/>
          <wp:positionH relativeFrom="margin">
            <wp:posOffset>4267200</wp:posOffset>
          </wp:positionH>
          <wp:positionV relativeFrom="margin">
            <wp:posOffset>-861695</wp:posOffset>
          </wp:positionV>
          <wp:extent cx="2009775" cy="711835"/>
          <wp:effectExtent l="0" t="0" r="9525" b="0"/>
          <wp:wrapSquare wrapText="bothSides"/>
          <wp:docPr id="27" name="Picture 27"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FE6EF" w14:textId="77777777" w:rsidR="007B7978" w:rsidRDefault="007B7978">
    <w:pPr>
      <w:pStyle w:val="Header"/>
    </w:pPr>
    <w:r>
      <w:rPr>
        <w:noProof/>
      </w:rPr>
      <w:drawing>
        <wp:anchor distT="0" distB="0" distL="114300" distR="114300" simplePos="0" relativeHeight="251658240" behindDoc="0" locked="0" layoutInCell="1" allowOverlap="1" wp14:anchorId="2E1E25DB" wp14:editId="559EFD60">
          <wp:simplePos x="0" y="0"/>
          <wp:positionH relativeFrom="margin">
            <wp:posOffset>4152900</wp:posOffset>
          </wp:positionH>
          <wp:positionV relativeFrom="margin">
            <wp:posOffset>-899795</wp:posOffset>
          </wp:positionV>
          <wp:extent cx="2009775" cy="711835"/>
          <wp:effectExtent l="0" t="0" r="9525" b="0"/>
          <wp:wrapSquare wrapText="bothSides"/>
          <wp:docPr id="28" name="Picture 28"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C2E"/>
    <w:multiLevelType w:val="hybridMultilevel"/>
    <w:tmpl w:val="A6EEA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A4C47BE"/>
    <w:multiLevelType w:val="multilevel"/>
    <w:tmpl w:val="12AA8392"/>
    <w:lvl w:ilvl="0">
      <w:start w:val="4"/>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0F0E37E3"/>
    <w:multiLevelType w:val="multilevel"/>
    <w:tmpl w:val="99C6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1700C5"/>
    <w:multiLevelType w:val="hybridMultilevel"/>
    <w:tmpl w:val="58B695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CD3095"/>
    <w:multiLevelType w:val="multilevel"/>
    <w:tmpl w:val="DB7A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652E1A"/>
    <w:multiLevelType w:val="multilevel"/>
    <w:tmpl w:val="BF88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017636"/>
    <w:multiLevelType w:val="multilevel"/>
    <w:tmpl w:val="8504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047437"/>
    <w:multiLevelType w:val="hybridMultilevel"/>
    <w:tmpl w:val="52C47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C73AC6"/>
    <w:multiLevelType w:val="multilevel"/>
    <w:tmpl w:val="0A28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197B0F"/>
    <w:multiLevelType w:val="multilevel"/>
    <w:tmpl w:val="639276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2B422F64"/>
    <w:multiLevelType w:val="multilevel"/>
    <w:tmpl w:val="7914646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EF64DC"/>
    <w:multiLevelType w:val="multilevel"/>
    <w:tmpl w:val="21B81446"/>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352213AC"/>
    <w:multiLevelType w:val="multilevel"/>
    <w:tmpl w:val="BFDCE4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261339E"/>
    <w:multiLevelType w:val="multilevel"/>
    <w:tmpl w:val="C0A8999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DF320BF"/>
    <w:multiLevelType w:val="multilevel"/>
    <w:tmpl w:val="02DE3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CA7F0A"/>
    <w:multiLevelType w:val="hybridMultilevel"/>
    <w:tmpl w:val="D536F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F405D2"/>
    <w:multiLevelType w:val="hybridMultilevel"/>
    <w:tmpl w:val="3FECB6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8B67C23"/>
    <w:multiLevelType w:val="multilevel"/>
    <w:tmpl w:val="3736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980024"/>
    <w:multiLevelType w:val="multilevel"/>
    <w:tmpl w:val="199010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913C52"/>
    <w:multiLevelType w:val="multilevel"/>
    <w:tmpl w:val="928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3B36A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97F05F0"/>
    <w:multiLevelType w:val="multilevel"/>
    <w:tmpl w:val="0138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2" w15:restartNumberingAfterBreak="0">
    <w:nsid w:val="6FC40909"/>
    <w:multiLevelType w:val="multilevel"/>
    <w:tmpl w:val="BCEC2328"/>
    <w:lvl w:ilvl="0">
      <w:start w:val="4"/>
      <w:numFmt w:val="decimal"/>
      <w:lvlText w:val="%1."/>
      <w:lvlJc w:val="left"/>
      <w:pPr>
        <w:ind w:left="36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720F0808"/>
    <w:multiLevelType w:val="multilevel"/>
    <w:tmpl w:val="3D1E0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7630D2"/>
    <w:multiLevelType w:val="multilevel"/>
    <w:tmpl w:val="5762B3D0"/>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E705283"/>
    <w:multiLevelType w:val="multilevel"/>
    <w:tmpl w:val="2B92D93C"/>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22"/>
  </w:num>
  <w:num w:numId="13">
    <w:abstractNumId w:val="31"/>
  </w:num>
  <w:num w:numId="14">
    <w:abstractNumId w:val="16"/>
  </w:num>
  <w:num w:numId="15">
    <w:abstractNumId w:val="24"/>
  </w:num>
  <w:num w:numId="16">
    <w:abstractNumId w:val="12"/>
  </w:num>
  <w:num w:numId="17">
    <w:abstractNumId w:val="14"/>
  </w:num>
  <w:num w:numId="18">
    <w:abstractNumId w:val="27"/>
  </w:num>
  <w:num w:numId="19">
    <w:abstractNumId w:val="29"/>
  </w:num>
  <w:num w:numId="20">
    <w:abstractNumId w:val="15"/>
  </w:num>
  <w:num w:numId="21">
    <w:abstractNumId w:val="19"/>
  </w:num>
  <w:num w:numId="22">
    <w:abstractNumId w:val="13"/>
  </w:num>
  <w:num w:numId="23">
    <w:abstractNumId w:val="30"/>
  </w:num>
  <w:num w:numId="24">
    <w:abstractNumId w:val="26"/>
  </w:num>
  <w:num w:numId="25">
    <w:abstractNumId w:val="17"/>
  </w:num>
  <w:num w:numId="26">
    <w:abstractNumId w:val="25"/>
  </w:num>
  <w:num w:numId="27">
    <w:abstractNumId w:val="32"/>
  </w:num>
  <w:num w:numId="28">
    <w:abstractNumId w:val="11"/>
  </w:num>
  <w:num w:numId="29">
    <w:abstractNumId w:val="10"/>
  </w:num>
  <w:num w:numId="30">
    <w:abstractNumId w:val="20"/>
  </w:num>
  <w:num w:numId="31">
    <w:abstractNumId w:val="33"/>
  </w:num>
  <w:num w:numId="32">
    <w:abstractNumId w:val="28"/>
  </w:num>
  <w:num w:numId="33">
    <w:abstractNumId w:val="21"/>
  </w:num>
  <w:num w:numId="34">
    <w:abstractNumId w:val="35"/>
  </w:num>
  <w:num w:numId="35">
    <w:abstractNumId w:val="2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C6F"/>
    <w:rsid w:val="000011D0"/>
    <w:rsid w:val="0000573F"/>
    <w:rsid w:val="00061B69"/>
    <w:rsid w:val="00082D40"/>
    <w:rsid w:val="00087401"/>
    <w:rsid w:val="000A395C"/>
    <w:rsid w:val="00142A30"/>
    <w:rsid w:val="00151B1F"/>
    <w:rsid w:val="00163439"/>
    <w:rsid w:val="00171C33"/>
    <w:rsid w:val="00181F63"/>
    <w:rsid w:val="001C2F45"/>
    <w:rsid w:val="001D5A10"/>
    <w:rsid w:val="00214098"/>
    <w:rsid w:val="002351D5"/>
    <w:rsid w:val="002637A1"/>
    <w:rsid w:val="00273123"/>
    <w:rsid w:val="00291453"/>
    <w:rsid w:val="002A237B"/>
    <w:rsid w:val="002D233E"/>
    <w:rsid w:val="002F4344"/>
    <w:rsid w:val="00330467"/>
    <w:rsid w:val="003400F1"/>
    <w:rsid w:val="003672DF"/>
    <w:rsid w:val="00406CDE"/>
    <w:rsid w:val="00416652"/>
    <w:rsid w:val="00416AA0"/>
    <w:rsid w:val="00422E87"/>
    <w:rsid w:val="00424F6C"/>
    <w:rsid w:val="004A55D4"/>
    <w:rsid w:val="004C1228"/>
    <w:rsid w:val="004F453C"/>
    <w:rsid w:val="00537E7C"/>
    <w:rsid w:val="0056264E"/>
    <w:rsid w:val="005B0D14"/>
    <w:rsid w:val="005C0C6F"/>
    <w:rsid w:val="005C161B"/>
    <w:rsid w:val="006063FE"/>
    <w:rsid w:val="00640B7E"/>
    <w:rsid w:val="006422C8"/>
    <w:rsid w:val="00673A68"/>
    <w:rsid w:val="00697F4B"/>
    <w:rsid w:val="006F163E"/>
    <w:rsid w:val="0071674B"/>
    <w:rsid w:val="00721B43"/>
    <w:rsid w:val="00793101"/>
    <w:rsid w:val="007B5B99"/>
    <w:rsid w:val="007B7978"/>
    <w:rsid w:val="007D4FDE"/>
    <w:rsid w:val="007D7A61"/>
    <w:rsid w:val="007E713A"/>
    <w:rsid w:val="00860083"/>
    <w:rsid w:val="00873D7B"/>
    <w:rsid w:val="00880119"/>
    <w:rsid w:val="00883F40"/>
    <w:rsid w:val="00885A8D"/>
    <w:rsid w:val="00890E90"/>
    <w:rsid w:val="008B415C"/>
    <w:rsid w:val="008B66AF"/>
    <w:rsid w:val="00904A09"/>
    <w:rsid w:val="0091059B"/>
    <w:rsid w:val="00917A20"/>
    <w:rsid w:val="00927201"/>
    <w:rsid w:val="00930117"/>
    <w:rsid w:val="00953F03"/>
    <w:rsid w:val="00956300"/>
    <w:rsid w:val="009A3A4F"/>
    <w:rsid w:val="009F7329"/>
    <w:rsid w:val="00A11AE2"/>
    <w:rsid w:val="00A36CF5"/>
    <w:rsid w:val="00A97D5A"/>
    <w:rsid w:val="00AD1B4C"/>
    <w:rsid w:val="00AD3173"/>
    <w:rsid w:val="00B23E4E"/>
    <w:rsid w:val="00B3772F"/>
    <w:rsid w:val="00B73992"/>
    <w:rsid w:val="00B7564E"/>
    <w:rsid w:val="00B96383"/>
    <w:rsid w:val="00BA53D7"/>
    <w:rsid w:val="00BB2AC2"/>
    <w:rsid w:val="00BF7C01"/>
    <w:rsid w:val="00C02710"/>
    <w:rsid w:val="00C04419"/>
    <w:rsid w:val="00C209D8"/>
    <w:rsid w:val="00C43089"/>
    <w:rsid w:val="00C758F8"/>
    <w:rsid w:val="00C775BE"/>
    <w:rsid w:val="00CA19CD"/>
    <w:rsid w:val="00CA2055"/>
    <w:rsid w:val="00CC5AA8"/>
    <w:rsid w:val="00CE063F"/>
    <w:rsid w:val="00CE2286"/>
    <w:rsid w:val="00CE3189"/>
    <w:rsid w:val="00CE66A3"/>
    <w:rsid w:val="00CE6A12"/>
    <w:rsid w:val="00D00D33"/>
    <w:rsid w:val="00D40D4D"/>
    <w:rsid w:val="00D5026A"/>
    <w:rsid w:val="00D5652C"/>
    <w:rsid w:val="00D604D4"/>
    <w:rsid w:val="00E013AE"/>
    <w:rsid w:val="00E057DF"/>
    <w:rsid w:val="00E12A18"/>
    <w:rsid w:val="00E209F2"/>
    <w:rsid w:val="00E27A65"/>
    <w:rsid w:val="00E41AE3"/>
    <w:rsid w:val="00E563D6"/>
    <w:rsid w:val="00E76672"/>
    <w:rsid w:val="00E80E93"/>
    <w:rsid w:val="00E93B64"/>
    <w:rsid w:val="00EA71B4"/>
    <w:rsid w:val="00EB66B1"/>
    <w:rsid w:val="00EF0843"/>
    <w:rsid w:val="00F367F1"/>
    <w:rsid w:val="00F419B2"/>
    <w:rsid w:val="00FA332F"/>
    <w:rsid w:val="00FB18E4"/>
    <w:rsid w:val="00FE22A3"/>
    <w:rsid w:val="00FF1A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1575"/>
  <w15:docId w15:val="{23CFA43D-F6C9-43FE-9CF5-00D2E8B9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E87"/>
    <w:pPr>
      <w:spacing w:after="0" w:line="240" w:lineRule="auto"/>
    </w:pPr>
    <w:rPr>
      <w:rFonts w:ascii="Times New Roman" w:eastAsia="Times New Roman" w:hAnsi="Times New Roman" w:cs="Times New Roman"/>
      <w:szCs w:val="20"/>
      <w:lang w:eastAsia="en-GB"/>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nhideWhenUsed/>
    <w:qFormat/>
    <w:rsid w:val="00CC5AA8"/>
    <w:pPr>
      <w:keepNext/>
      <w:ind w:left="1036" w:hanging="1036"/>
      <w:outlineLvl w:val="1"/>
    </w:pPr>
    <w:rPr>
      <w:rFonts w:ascii="Arial" w:eastAsiaTheme="majorEastAsia" w:hAnsi="Arial" w:cs="Arial"/>
      <w:bCs/>
      <w:sz w:val="22"/>
      <w:szCs w:val="22"/>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nhideWhenUsed/>
    <w:qFormat/>
    <w:rsid w:val="00142A30"/>
    <w:pPr>
      <w:keepNext/>
      <w:keepLines/>
      <w:spacing w:before="240" w:after="120"/>
      <w:ind w:left="720"/>
      <w:outlineLvl w:val="4"/>
    </w:pPr>
    <w:rPr>
      <w:rFonts w:ascii="Arial" w:eastAsiaTheme="majorEastAsia" w:hAnsi="Arial" w:cs="Arial"/>
      <w:b/>
      <w:sz w:val="22"/>
      <w:szCs w:val="22"/>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rsid w:val="00CC5AA8"/>
    <w:rPr>
      <w:rFonts w:eastAsiaTheme="majorEastAsia"/>
      <w:bCs/>
      <w:sz w:val="22"/>
      <w:szCs w:val="22"/>
      <w:lang w:eastAsia="en-GB"/>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rsid w:val="00EB66B1"/>
    <w:rPr>
      <w:rFonts w:ascii="Arial" w:eastAsiaTheme="majorEastAsia" w:hAnsi="Arial" w:cs="Arial"/>
      <w:b/>
      <w:bCs/>
      <w:iCs/>
      <w:sz w:val="24"/>
    </w:rPr>
  </w:style>
  <w:style w:type="character" w:customStyle="1" w:styleId="Heading5Char">
    <w:name w:val="Heading 5 Char"/>
    <w:basedOn w:val="DefaultParagraphFont"/>
    <w:link w:val="Heading5"/>
    <w:rsid w:val="00142A30"/>
    <w:rPr>
      <w:rFonts w:eastAsiaTheme="majorEastAsia"/>
      <w:b/>
      <w:sz w:val="22"/>
      <w:szCs w:val="22"/>
      <w:lang w:eastAsia="en-GB"/>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Strong">
    <w:name w:val="Strong"/>
    <w:basedOn w:val="DefaultParagraphFont"/>
    <w:uiPriority w:val="22"/>
    <w:qFormat/>
    <w:rsid w:val="005C0C6F"/>
    <w:rPr>
      <w:b/>
      <w:bCs/>
    </w:rPr>
  </w:style>
  <w:style w:type="character" w:styleId="Hyperlink">
    <w:name w:val="Hyperlink"/>
    <w:basedOn w:val="DefaultParagraphFont"/>
    <w:uiPriority w:val="99"/>
    <w:unhideWhenUsed/>
    <w:rsid w:val="005C0C6F"/>
    <w:rPr>
      <w:color w:val="0000FF"/>
      <w:u w:val="single"/>
    </w:rPr>
  </w:style>
  <w:style w:type="paragraph" w:styleId="FootnoteText">
    <w:name w:val="footnote text"/>
    <w:basedOn w:val="Normal"/>
    <w:link w:val="FootnoteTextChar"/>
    <w:semiHidden/>
    <w:unhideWhenUsed/>
    <w:rsid w:val="000011D0"/>
    <w:rPr>
      <w:sz w:val="20"/>
    </w:rPr>
  </w:style>
  <w:style w:type="character" w:customStyle="1" w:styleId="FootnoteTextChar">
    <w:name w:val="Footnote Text Char"/>
    <w:basedOn w:val="DefaultParagraphFont"/>
    <w:link w:val="FootnoteText"/>
    <w:semiHidden/>
    <w:rsid w:val="000011D0"/>
    <w:rPr>
      <w:sz w:val="20"/>
      <w:szCs w:val="20"/>
    </w:rPr>
  </w:style>
  <w:style w:type="character" w:styleId="FootnoteReference">
    <w:name w:val="footnote reference"/>
    <w:basedOn w:val="DefaultParagraphFont"/>
    <w:semiHidden/>
    <w:unhideWhenUsed/>
    <w:rsid w:val="000011D0"/>
    <w:rPr>
      <w:vertAlign w:val="superscript"/>
    </w:rPr>
  </w:style>
  <w:style w:type="paragraph" w:styleId="Header">
    <w:name w:val="header"/>
    <w:basedOn w:val="Normal"/>
    <w:link w:val="HeaderChar"/>
    <w:uiPriority w:val="99"/>
    <w:unhideWhenUsed/>
    <w:rsid w:val="007B7978"/>
    <w:pPr>
      <w:tabs>
        <w:tab w:val="center" w:pos="4513"/>
        <w:tab w:val="right" w:pos="9026"/>
      </w:tabs>
    </w:pPr>
  </w:style>
  <w:style w:type="character" w:customStyle="1" w:styleId="HeaderChar">
    <w:name w:val="Header Char"/>
    <w:basedOn w:val="DefaultParagraphFont"/>
    <w:link w:val="Header"/>
    <w:uiPriority w:val="99"/>
    <w:rsid w:val="007B7978"/>
  </w:style>
  <w:style w:type="paragraph" w:styleId="Footer">
    <w:name w:val="footer"/>
    <w:basedOn w:val="Normal"/>
    <w:link w:val="FooterChar"/>
    <w:uiPriority w:val="99"/>
    <w:unhideWhenUsed/>
    <w:rsid w:val="007B7978"/>
    <w:pPr>
      <w:tabs>
        <w:tab w:val="center" w:pos="4513"/>
        <w:tab w:val="right" w:pos="9026"/>
      </w:tabs>
    </w:pPr>
  </w:style>
  <w:style w:type="character" w:customStyle="1" w:styleId="FooterChar">
    <w:name w:val="Footer Char"/>
    <w:basedOn w:val="DefaultParagraphFont"/>
    <w:link w:val="Footer"/>
    <w:uiPriority w:val="99"/>
    <w:rsid w:val="007B7978"/>
  </w:style>
  <w:style w:type="paragraph" w:styleId="BodyTextIndent">
    <w:name w:val="Body Text Indent"/>
    <w:basedOn w:val="Normal"/>
    <w:link w:val="BodyTextIndentChar"/>
    <w:uiPriority w:val="99"/>
    <w:unhideWhenUsed/>
    <w:rsid w:val="004C1228"/>
    <w:pPr>
      <w:spacing w:before="100" w:beforeAutospacing="1" w:after="100" w:afterAutospacing="1"/>
      <w:ind w:left="540"/>
    </w:pPr>
    <w:rPr>
      <w:bCs/>
      <w:sz w:val="22"/>
      <w:szCs w:val="22"/>
    </w:rPr>
  </w:style>
  <w:style w:type="character" w:customStyle="1" w:styleId="BodyTextIndentChar">
    <w:name w:val="Body Text Indent Char"/>
    <w:basedOn w:val="DefaultParagraphFont"/>
    <w:link w:val="BodyTextIndent"/>
    <w:uiPriority w:val="99"/>
    <w:rsid w:val="004C1228"/>
    <w:rPr>
      <w:rFonts w:eastAsia="Times New Roman"/>
      <w:bCs/>
      <w:sz w:val="22"/>
      <w:szCs w:val="22"/>
      <w:lang w:eastAsia="en-GB"/>
    </w:rPr>
  </w:style>
  <w:style w:type="paragraph" w:styleId="BodyTextIndent2">
    <w:name w:val="Body Text Indent 2"/>
    <w:basedOn w:val="Normal"/>
    <w:link w:val="BodyTextIndent2Char"/>
    <w:uiPriority w:val="99"/>
    <w:unhideWhenUsed/>
    <w:rsid w:val="004C1228"/>
    <w:pPr>
      <w:ind w:left="1080" w:hanging="533"/>
    </w:pPr>
    <w:rPr>
      <w:bCs/>
      <w:sz w:val="22"/>
      <w:szCs w:val="22"/>
    </w:rPr>
  </w:style>
  <w:style w:type="character" w:customStyle="1" w:styleId="BodyTextIndent2Char">
    <w:name w:val="Body Text Indent 2 Char"/>
    <w:basedOn w:val="DefaultParagraphFont"/>
    <w:link w:val="BodyTextIndent2"/>
    <w:uiPriority w:val="99"/>
    <w:rsid w:val="004C1228"/>
    <w:rPr>
      <w:rFonts w:eastAsia="Times New Roman"/>
      <w:bCs/>
      <w:sz w:val="22"/>
      <w:szCs w:val="22"/>
      <w:lang w:eastAsia="en-GB"/>
    </w:rPr>
  </w:style>
  <w:style w:type="paragraph" w:styleId="BodyText2">
    <w:name w:val="Body Text 2"/>
    <w:basedOn w:val="Normal"/>
    <w:link w:val="BodyText2Char"/>
    <w:uiPriority w:val="99"/>
    <w:unhideWhenUsed/>
    <w:rsid w:val="004C1228"/>
    <w:pPr>
      <w:spacing w:before="100" w:beforeAutospacing="1" w:afterAutospacing="1"/>
    </w:pPr>
    <w:rPr>
      <w:bCs/>
      <w:sz w:val="22"/>
      <w:szCs w:val="22"/>
    </w:rPr>
  </w:style>
  <w:style w:type="character" w:customStyle="1" w:styleId="BodyText2Char">
    <w:name w:val="Body Text 2 Char"/>
    <w:basedOn w:val="DefaultParagraphFont"/>
    <w:link w:val="BodyText2"/>
    <w:uiPriority w:val="99"/>
    <w:rsid w:val="004C1228"/>
    <w:rPr>
      <w:rFonts w:eastAsia="Times New Roman"/>
      <w:bCs/>
      <w:sz w:val="22"/>
      <w:szCs w:val="22"/>
      <w:lang w:eastAsia="en-GB"/>
    </w:rPr>
  </w:style>
  <w:style w:type="paragraph" w:styleId="BalloonText">
    <w:name w:val="Balloon Text"/>
    <w:basedOn w:val="Normal"/>
    <w:link w:val="BalloonTextChar"/>
    <w:uiPriority w:val="99"/>
    <w:semiHidden/>
    <w:unhideWhenUsed/>
    <w:rsid w:val="00CE3189"/>
    <w:rPr>
      <w:rFonts w:ascii="Tahoma" w:hAnsi="Tahoma" w:cs="Tahoma"/>
      <w:sz w:val="16"/>
      <w:szCs w:val="16"/>
    </w:rPr>
  </w:style>
  <w:style w:type="character" w:customStyle="1" w:styleId="BalloonTextChar">
    <w:name w:val="Balloon Text Char"/>
    <w:basedOn w:val="DefaultParagraphFont"/>
    <w:link w:val="BalloonText"/>
    <w:uiPriority w:val="99"/>
    <w:semiHidden/>
    <w:rsid w:val="00CE3189"/>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209D8"/>
    <w:rPr>
      <w:sz w:val="16"/>
      <w:szCs w:val="16"/>
    </w:rPr>
  </w:style>
  <w:style w:type="paragraph" w:styleId="CommentText">
    <w:name w:val="annotation text"/>
    <w:basedOn w:val="Normal"/>
    <w:link w:val="CommentTextChar"/>
    <w:uiPriority w:val="99"/>
    <w:semiHidden/>
    <w:unhideWhenUsed/>
    <w:rsid w:val="00C209D8"/>
    <w:rPr>
      <w:sz w:val="20"/>
    </w:rPr>
  </w:style>
  <w:style w:type="character" w:customStyle="1" w:styleId="CommentTextChar">
    <w:name w:val="Comment Text Char"/>
    <w:basedOn w:val="DefaultParagraphFont"/>
    <w:link w:val="CommentText"/>
    <w:uiPriority w:val="99"/>
    <w:semiHidden/>
    <w:rsid w:val="00C209D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09D8"/>
    <w:rPr>
      <w:b/>
      <w:bCs/>
    </w:rPr>
  </w:style>
  <w:style w:type="character" w:customStyle="1" w:styleId="CommentSubjectChar">
    <w:name w:val="Comment Subject Char"/>
    <w:basedOn w:val="CommentTextChar"/>
    <w:link w:val="CommentSubject"/>
    <w:uiPriority w:val="99"/>
    <w:semiHidden/>
    <w:rsid w:val="00C209D8"/>
    <w:rPr>
      <w:rFonts w:ascii="Times New Roman" w:eastAsia="Times New Roman" w:hAnsi="Times New Roman" w:cs="Times New Roman"/>
      <w:b/>
      <w:bCs/>
      <w:sz w:val="20"/>
      <w:szCs w:val="20"/>
      <w:lang w:eastAsia="en-GB"/>
    </w:rPr>
  </w:style>
  <w:style w:type="table" w:styleId="TableGrid">
    <w:name w:val="Table Grid"/>
    <w:basedOn w:val="TableNormal"/>
    <w:uiPriority w:val="59"/>
    <w:rsid w:val="00151B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B1F"/>
    <w:pPr>
      <w:spacing w:before="120" w:line="276" w:lineRule="auto"/>
      <w:ind w:left="720"/>
      <w:contextualSpacing/>
    </w:pPr>
    <w:rPr>
      <w:rFonts w:ascii="Arial" w:eastAsiaTheme="minorHAnsi" w:hAnsi="Arial" w:cs="Arial"/>
      <w:szCs w:val="24"/>
      <w:lang w:eastAsia="en-US"/>
    </w:rPr>
  </w:style>
  <w:style w:type="table" w:customStyle="1" w:styleId="TableGrid1">
    <w:name w:val="Table Grid1"/>
    <w:basedOn w:val="TableNormal"/>
    <w:uiPriority w:val="59"/>
    <w:rsid w:val="00E80E9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918156">
      <w:bodyDiv w:val="1"/>
      <w:marLeft w:val="0"/>
      <w:marRight w:val="0"/>
      <w:marTop w:val="0"/>
      <w:marBottom w:val="0"/>
      <w:divBdr>
        <w:top w:val="none" w:sz="0" w:space="0" w:color="auto"/>
        <w:left w:val="none" w:sz="0" w:space="0" w:color="auto"/>
        <w:bottom w:val="none" w:sz="0" w:space="0" w:color="auto"/>
        <w:right w:val="none" w:sz="0" w:space="0" w:color="auto"/>
      </w:divBdr>
      <w:divsChild>
        <w:div w:id="1892496402">
          <w:marLeft w:val="0"/>
          <w:marRight w:val="0"/>
          <w:marTop w:val="0"/>
          <w:marBottom w:val="0"/>
          <w:divBdr>
            <w:top w:val="none" w:sz="0" w:space="0" w:color="auto"/>
            <w:left w:val="none" w:sz="0" w:space="0" w:color="auto"/>
            <w:bottom w:val="none" w:sz="0" w:space="0" w:color="auto"/>
            <w:right w:val="none" w:sz="0" w:space="0" w:color="auto"/>
          </w:divBdr>
          <w:divsChild>
            <w:div w:id="897782908">
              <w:marLeft w:val="0"/>
              <w:marRight w:val="0"/>
              <w:marTop w:val="0"/>
              <w:marBottom w:val="0"/>
              <w:divBdr>
                <w:top w:val="none" w:sz="0" w:space="0" w:color="auto"/>
                <w:left w:val="none" w:sz="0" w:space="0" w:color="auto"/>
                <w:bottom w:val="none" w:sz="0" w:space="0" w:color="auto"/>
                <w:right w:val="none" w:sz="0" w:space="0" w:color="auto"/>
              </w:divBdr>
              <w:divsChild>
                <w:div w:id="835345773">
                  <w:marLeft w:val="0"/>
                  <w:marRight w:val="0"/>
                  <w:marTop w:val="0"/>
                  <w:marBottom w:val="0"/>
                  <w:divBdr>
                    <w:top w:val="none" w:sz="0" w:space="0" w:color="auto"/>
                    <w:left w:val="none" w:sz="0" w:space="0" w:color="auto"/>
                    <w:bottom w:val="none" w:sz="0" w:space="0" w:color="auto"/>
                    <w:right w:val="none" w:sz="0" w:space="0" w:color="auto"/>
                  </w:divBdr>
                  <w:divsChild>
                    <w:div w:id="1037781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4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7512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623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454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267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8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677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111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9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35718">
                      <w:marLeft w:val="0"/>
                      <w:marRight w:val="0"/>
                      <w:marTop w:val="0"/>
                      <w:marBottom w:val="0"/>
                      <w:divBdr>
                        <w:top w:val="none" w:sz="0" w:space="0" w:color="auto"/>
                        <w:left w:val="none" w:sz="0" w:space="0" w:color="auto"/>
                        <w:bottom w:val="none" w:sz="0" w:space="0" w:color="auto"/>
                        <w:right w:val="none" w:sz="0" w:space="0" w:color="auto"/>
                      </w:divBdr>
                      <w:divsChild>
                        <w:div w:id="1172836351">
                          <w:marLeft w:val="0"/>
                          <w:marRight w:val="0"/>
                          <w:marTop w:val="0"/>
                          <w:marBottom w:val="0"/>
                          <w:divBdr>
                            <w:top w:val="none" w:sz="0" w:space="0" w:color="auto"/>
                            <w:left w:val="none" w:sz="0" w:space="0" w:color="auto"/>
                            <w:bottom w:val="none" w:sz="0" w:space="0" w:color="auto"/>
                            <w:right w:val="none" w:sz="0" w:space="0" w:color="auto"/>
                          </w:divBdr>
                        </w:div>
                      </w:divsChild>
                    </w:div>
                    <w:div w:id="1788810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250239">
                      <w:marLeft w:val="0"/>
                      <w:marRight w:val="0"/>
                      <w:marTop w:val="0"/>
                      <w:marBottom w:val="0"/>
                      <w:divBdr>
                        <w:top w:val="none" w:sz="0" w:space="0" w:color="auto"/>
                        <w:left w:val="none" w:sz="0" w:space="0" w:color="auto"/>
                        <w:bottom w:val="none" w:sz="0" w:space="0" w:color="auto"/>
                        <w:right w:val="none" w:sz="0" w:space="0" w:color="auto"/>
                      </w:divBdr>
                      <w:divsChild>
                        <w:div w:id="4121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52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eds.ac.uk/secretariat/student_case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eds.ac.uk/secretariat/documents/referred_students_procedure.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udentcases@leed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6F09AFE8A30A4EA873BAF4C1D2E8BF" ma:contentTypeVersion="0" ma:contentTypeDescription="Create a new document." ma:contentTypeScope="" ma:versionID="7fa228383424737a7e65dc3dcb3b1f14">
  <xsd:schema xmlns:xsd="http://www.w3.org/2001/XMLSchema" xmlns:xs="http://www.w3.org/2001/XMLSchema" xmlns:p="http://schemas.microsoft.com/office/2006/metadata/properties" xmlns:ns2="67234f21-1976-4046-b693-b4ba4dcda153" targetNamespace="http://schemas.microsoft.com/office/2006/metadata/properties" ma:root="true" ma:fieldsID="229ca70450c1d928795b3c21d697973b" ns2:_="">
    <xsd:import namespace="67234f21-1976-4046-b693-b4ba4dcda1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34f21-1976-4046-b693-b4ba4dcda15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67234f21-1976-4046-b693-b4ba4dcda153">FAF3UXQXTZDM-261943632-16</_dlc_DocId>
    <_dlc_DocIdUrl xmlns="67234f21-1976-4046-b693-b4ba4dcda153">
      <Url>https://workspace.leeds.ac.uk/sites/secretariat/student_cases/_layouts/15/DocIdRedir.aspx?ID=FAF3UXQXTZDM-261943632-16</Url>
      <Description>FAF3UXQXTZDM-261943632-16</Description>
    </_dlc_DocIdUrl>
  </documentManagement>
</p:properties>
</file>

<file path=customXml/itemProps1.xml><?xml version="1.0" encoding="utf-8"?>
<ds:datastoreItem xmlns:ds="http://schemas.openxmlformats.org/officeDocument/2006/customXml" ds:itemID="{AC81158D-B9E9-4533-A877-DF9A2D308729}">
  <ds:schemaRefs>
    <ds:schemaRef ds:uri="http://schemas.microsoft.com/sharepoint/v3/contenttype/forms"/>
  </ds:schemaRefs>
</ds:datastoreItem>
</file>

<file path=customXml/itemProps2.xml><?xml version="1.0" encoding="utf-8"?>
<ds:datastoreItem xmlns:ds="http://schemas.openxmlformats.org/officeDocument/2006/customXml" ds:itemID="{D3B411DE-0FDC-4F1B-B0E7-C83B1F8BAE98}">
  <ds:schemaRefs>
    <ds:schemaRef ds:uri="http://schemas.microsoft.com/sharepoint/events"/>
  </ds:schemaRefs>
</ds:datastoreItem>
</file>

<file path=customXml/itemProps3.xml><?xml version="1.0" encoding="utf-8"?>
<ds:datastoreItem xmlns:ds="http://schemas.openxmlformats.org/officeDocument/2006/customXml" ds:itemID="{4DAF6C2B-C5C5-4472-9F11-60DA25191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34f21-1976-4046-b693-b4ba4dcda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4A3A5-B8EE-4903-B195-254407A55825}">
  <ds:schemaRefs>
    <ds:schemaRef ds:uri="http://schemas.openxmlformats.org/officeDocument/2006/bibliography"/>
  </ds:schemaRefs>
</ds:datastoreItem>
</file>

<file path=customXml/itemProps5.xml><?xml version="1.0" encoding="utf-8"?>
<ds:datastoreItem xmlns:ds="http://schemas.openxmlformats.org/officeDocument/2006/customXml" ds:itemID="{645D94E7-5CCE-4B07-85B5-1118C93B322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67234f21-1976-4046-b693-b4ba4dcda15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Usher</dc:creator>
  <cp:lastModifiedBy>Rebecca Dearden</cp:lastModifiedBy>
  <cp:revision>2</cp:revision>
  <cp:lastPrinted>2014-03-25T15:41:00Z</cp:lastPrinted>
  <dcterms:created xsi:type="dcterms:W3CDTF">2023-05-08T14:16:00Z</dcterms:created>
  <dcterms:modified xsi:type="dcterms:W3CDTF">2023-05-08T14:16:00Z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0x010100C66F09AFE8A30A4EA873BAF4C1D2E8BF</vt:lpwstr>
  </property>
  <property fmtid="{D5CDD505-2E9C-101B-9397-08002B2CF9AE}" pid="3" name="_dlc_DocIdItemGuid">
    <vt:lpwstr>0886a6ff-a95f-45c7-93d9-c75f2c7d5d9b</vt:lpwstr>
  </property>
</Properties>
</file>